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5302A9" w14:textId="109165C3" w:rsidR="00194092" w:rsidRPr="00280956" w:rsidRDefault="00493786" w:rsidP="00194092">
      <w:pPr>
        <w:tabs>
          <w:tab w:val="left" w:pos="1985"/>
        </w:tabs>
        <w:spacing w:after="0"/>
        <w:ind w:left="0" w:firstLine="0"/>
        <w:rPr>
          <w:rFonts w:ascii="Arial" w:eastAsiaTheme="minorEastAsia" w:hAnsi="Arial" w:cs="Arial"/>
          <w:b/>
          <w:bCs/>
          <w:sz w:val="28"/>
          <w:lang w:eastAsia="ko-KR"/>
        </w:rPr>
      </w:pPr>
      <w:r w:rsidRPr="0052548E">
        <w:rPr>
          <w:rFonts w:ascii="Arial" w:hAnsi="Arial" w:cs="Arial"/>
          <w:b/>
          <w:bCs/>
          <w:sz w:val="28"/>
        </w:rPr>
        <w:t>3GPP TSG RAN WG1 Meeting #</w:t>
      </w:r>
      <w:r>
        <w:rPr>
          <w:rFonts w:ascii="Arial" w:hAnsi="Arial" w:cs="Arial"/>
          <w:b/>
          <w:bCs/>
          <w:sz w:val="28"/>
        </w:rPr>
        <w:t>8</w:t>
      </w:r>
      <w:r w:rsidR="00192022">
        <w:rPr>
          <w:rFonts w:ascii="Arial" w:eastAsiaTheme="minorEastAsia" w:hAnsi="Arial" w:cs="Arial" w:hint="eastAsia"/>
          <w:b/>
          <w:bCs/>
          <w:sz w:val="28"/>
          <w:lang w:eastAsia="ko-KR"/>
        </w:rPr>
        <w:t>9</w:t>
      </w:r>
      <w:r w:rsidR="00192022">
        <w:rPr>
          <w:rFonts w:ascii="Arial" w:eastAsiaTheme="minorEastAsia" w:hAnsi="Arial" w:cs="Arial" w:hint="eastAsia"/>
          <w:b/>
          <w:bCs/>
          <w:sz w:val="28"/>
          <w:lang w:eastAsia="ko-KR"/>
        </w:rPr>
        <w:tab/>
      </w:r>
      <w:r w:rsidR="00194092" w:rsidRPr="00506024">
        <w:rPr>
          <w:rFonts w:ascii="Arial" w:hAnsi="Arial" w:cs="Arial"/>
          <w:b/>
          <w:bCs/>
          <w:sz w:val="28"/>
        </w:rPr>
        <w:tab/>
      </w:r>
      <w:r w:rsidR="00194092" w:rsidRPr="00C333B5">
        <w:rPr>
          <w:rFonts w:ascii="Arial" w:eastAsia="맑은 고딕" w:hAnsi="Arial" w:cs="Arial" w:hint="eastAsia"/>
          <w:b/>
          <w:bCs/>
          <w:sz w:val="28"/>
          <w:lang w:eastAsia="ko-KR"/>
        </w:rPr>
        <w:tab/>
      </w:r>
      <w:r w:rsidR="003A29AC">
        <w:rPr>
          <w:rFonts w:ascii="Arial" w:eastAsia="맑은 고딕" w:hAnsi="Arial" w:cs="Arial"/>
          <w:b/>
          <w:bCs/>
          <w:sz w:val="28"/>
          <w:lang w:eastAsia="ko-KR"/>
        </w:rPr>
        <w:t xml:space="preserve">      </w:t>
      </w:r>
      <w:r w:rsidR="00194092" w:rsidRPr="00C333B5">
        <w:rPr>
          <w:rFonts w:ascii="Arial" w:eastAsia="맑은 고딕" w:hAnsi="Arial" w:cs="Arial" w:hint="eastAsia"/>
          <w:b/>
          <w:bCs/>
          <w:sz w:val="28"/>
          <w:lang w:eastAsia="ko-KR"/>
        </w:rPr>
        <w:tab/>
      </w:r>
      <w:r w:rsidR="00D277DB" w:rsidRPr="00D277DB">
        <w:rPr>
          <w:rFonts w:ascii="Arial" w:hAnsi="Arial" w:cs="Arial"/>
          <w:b/>
          <w:bCs/>
          <w:sz w:val="28"/>
        </w:rPr>
        <w:t>R1-1707667</w:t>
      </w:r>
    </w:p>
    <w:p w14:paraId="7C374FBB" w14:textId="125D3CB1" w:rsidR="00194092" w:rsidRDefault="00192022" w:rsidP="00194092">
      <w:pPr>
        <w:tabs>
          <w:tab w:val="left" w:pos="1985"/>
        </w:tabs>
        <w:spacing w:after="0"/>
        <w:ind w:left="0" w:firstLine="0"/>
        <w:rPr>
          <w:rFonts w:ascii="Arial" w:eastAsia="맑은 고딕" w:hAnsi="Arial" w:cs="Arial"/>
          <w:b/>
          <w:bCs/>
          <w:sz w:val="28"/>
          <w:lang w:eastAsia="ko-KR"/>
        </w:rPr>
      </w:pPr>
      <w:r w:rsidRPr="00620748">
        <w:rPr>
          <w:rFonts w:ascii="Arial" w:hAnsi="Arial" w:cs="Arial"/>
          <w:b/>
          <w:bCs/>
          <w:sz w:val="28"/>
          <w:lang w:eastAsia="ja-JP"/>
        </w:rPr>
        <w:t>Hangzhou</w:t>
      </w:r>
      <w:r>
        <w:rPr>
          <w:rFonts w:ascii="Arial" w:hAnsi="Arial" w:cs="Arial"/>
          <w:b/>
          <w:bCs/>
          <w:sz w:val="28"/>
        </w:rPr>
        <w:t xml:space="preserve">, </w:t>
      </w:r>
      <w:r>
        <w:rPr>
          <w:rFonts w:ascii="Arial" w:hAnsi="Arial" w:cs="Arial" w:hint="eastAsia"/>
          <w:b/>
          <w:bCs/>
          <w:sz w:val="28"/>
          <w:lang w:eastAsia="ja-JP"/>
        </w:rPr>
        <w:t>P.R. China</w:t>
      </w:r>
      <w:r>
        <w:rPr>
          <w:rFonts w:ascii="Arial" w:hAnsi="Arial" w:cs="Arial"/>
          <w:b/>
          <w:bCs/>
          <w:sz w:val="28"/>
        </w:rPr>
        <w:t xml:space="preserve"> </w:t>
      </w:r>
      <w:r>
        <w:rPr>
          <w:rFonts w:ascii="Arial" w:hAnsi="Arial" w:cs="Arial" w:hint="eastAsia"/>
          <w:b/>
          <w:bCs/>
          <w:sz w:val="28"/>
          <w:lang w:eastAsia="ja-JP"/>
        </w:rPr>
        <w:t>15th</w:t>
      </w:r>
      <w:r w:rsidRPr="004C7EB6">
        <w:rPr>
          <w:rFonts w:ascii="Arial" w:hAnsi="Arial" w:cs="Arial" w:hint="eastAsia"/>
          <w:b/>
          <w:bCs/>
          <w:sz w:val="28"/>
          <w:lang w:eastAsia="ja-JP"/>
        </w:rPr>
        <w:t xml:space="preserve"> </w:t>
      </w:r>
      <w:r>
        <w:rPr>
          <w:rFonts w:ascii="Arial" w:hAnsi="Arial" w:cs="Arial"/>
          <w:b/>
          <w:bCs/>
          <w:sz w:val="28"/>
        </w:rPr>
        <w:t>–</w:t>
      </w:r>
      <w:r w:rsidRPr="0052548E">
        <w:rPr>
          <w:rFonts w:ascii="Arial" w:hAnsi="Arial" w:cs="Arial"/>
          <w:b/>
          <w:bCs/>
          <w:sz w:val="28"/>
        </w:rPr>
        <w:t xml:space="preserve"> </w:t>
      </w:r>
      <w:r>
        <w:rPr>
          <w:rFonts w:ascii="Arial" w:hAnsi="Arial" w:cs="Arial" w:hint="eastAsia"/>
          <w:b/>
          <w:bCs/>
          <w:sz w:val="28"/>
          <w:lang w:eastAsia="ja-JP"/>
        </w:rPr>
        <w:t>19th</w:t>
      </w:r>
      <w:r w:rsidRPr="0052548E">
        <w:rPr>
          <w:rFonts w:ascii="Arial" w:hAnsi="Arial" w:cs="Arial"/>
          <w:b/>
          <w:bCs/>
          <w:sz w:val="28"/>
        </w:rPr>
        <w:t xml:space="preserve"> </w:t>
      </w:r>
      <w:r>
        <w:rPr>
          <w:rFonts w:ascii="Arial" w:hAnsi="Arial" w:cs="Arial" w:hint="eastAsia"/>
          <w:b/>
          <w:bCs/>
          <w:sz w:val="28"/>
          <w:lang w:eastAsia="ja-JP"/>
        </w:rPr>
        <w:t>May</w:t>
      </w:r>
      <w:r>
        <w:rPr>
          <w:rFonts w:ascii="Arial" w:hAnsi="Arial" w:cs="Arial"/>
          <w:b/>
          <w:bCs/>
          <w:sz w:val="28"/>
        </w:rPr>
        <w:t xml:space="preserve"> 201</w:t>
      </w:r>
      <w:r w:rsidRPr="009513AC">
        <w:rPr>
          <w:rFonts w:ascii="Arial" w:hAnsi="Arial" w:cs="Arial" w:hint="eastAsia"/>
          <w:b/>
          <w:bCs/>
          <w:sz w:val="28"/>
          <w:lang w:eastAsia="ja-JP"/>
        </w:rPr>
        <w:t>7</w:t>
      </w:r>
    </w:p>
    <w:p w14:paraId="6E4462CD" w14:textId="20F0AF48"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192022">
        <w:rPr>
          <w:rFonts w:ascii="Arial" w:eastAsia="맑은 고딕" w:hAnsi="Arial" w:hint="eastAsia"/>
          <w:sz w:val="24"/>
          <w:lang w:val="en-US" w:eastAsia="ko-KR"/>
        </w:rPr>
        <w:t>7</w:t>
      </w:r>
      <w:r w:rsidR="00F3553F">
        <w:rPr>
          <w:rFonts w:ascii="Arial" w:eastAsia="맑은 고딕" w:hAnsi="Arial"/>
          <w:sz w:val="24"/>
          <w:lang w:val="en-US" w:eastAsia="ko-KR"/>
        </w:rPr>
        <w:t>.1.</w:t>
      </w:r>
      <w:r w:rsidR="00EF2526">
        <w:rPr>
          <w:rFonts w:ascii="Arial" w:eastAsia="맑은 고딕" w:hAnsi="Arial" w:hint="eastAsia"/>
          <w:sz w:val="24"/>
          <w:lang w:val="en-US" w:eastAsia="ko-KR"/>
        </w:rPr>
        <w:t>3</w:t>
      </w:r>
      <w:r w:rsidR="004727AD">
        <w:rPr>
          <w:rFonts w:ascii="Arial" w:eastAsia="맑은 고딕" w:hAnsi="Arial"/>
          <w:sz w:val="24"/>
          <w:lang w:val="en-US" w:eastAsia="ko-KR"/>
        </w:rPr>
        <w:t>.</w:t>
      </w:r>
      <w:r w:rsidR="00807F06">
        <w:rPr>
          <w:rFonts w:ascii="Arial" w:eastAsia="맑은 고딕" w:hAnsi="Arial"/>
          <w:sz w:val="24"/>
          <w:lang w:val="en-US" w:eastAsia="ko-KR"/>
        </w:rPr>
        <w:t>4</w:t>
      </w:r>
    </w:p>
    <w:p w14:paraId="508F3C58"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220AEF23" w14:textId="2793B9E1" w:rsidR="003C5E2A" w:rsidRPr="00280956" w:rsidRDefault="003C5E2A" w:rsidP="008F76BA">
      <w:pPr>
        <w:tabs>
          <w:tab w:val="left" w:pos="1985"/>
        </w:tabs>
        <w:spacing w:after="0"/>
        <w:ind w:left="0" w:firstLine="0"/>
        <w:rPr>
          <w:rFonts w:ascii="Arial" w:eastAsiaTheme="minorEastAsia"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192022">
        <w:rPr>
          <w:rFonts w:ascii="Arial" w:eastAsiaTheme="minorEastAsia" w:hAnsi="Arial" w:hint="eastAsia"/>
          <w:sz w:val="24"/>
          <w:lang w:eastAsia="ko-KR"/>
        </w:rPr>
        <w:t xml:space="preserve">Discussion on </w:t>
      </w:r>
      <w:r w:rsidR="001E653C">
        <w:rPr>
          <w:rFonts w:ascii="Arial" w:eastAsiaTheme="minorEastAsia" w:hAnsi="Arial"/>
          <w:sz w:val="24"/>
          <w:lang w:eastAsia="ko-KR"/>
        </w:rPr>
        <w:t>Scheduling/HARQ for dual connectivity</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14:paraId="39990E72" w14:textId="77777777" w:rsidR="00095BF5" w:rsidRPr="0028212A" w:rsidRDefault="00095BF5" w:rsidP="003A5BEE">
      <w:pPr>
        <w:pStyle w:val="1"/>
        <w:numPr>
          <w:ilvl w:val="0"/>
          <w:numId w:val="2"/>
        </w:numPr>
        <w:rPr>
          <w:rFonts w:eastAsia="바탕" w:cs="Arial"/>
          <w:b/>
          <w:lang w:eastAsia="ko-KR"/>
        </w:rPr>
      </w:pPr>
      <w:r w:rsidRPr="0028212A">
        <w:rPr>
          <w:rFonts w:eastAsia="바탕" w:cs="Arial"/>
          <w:b/>
          <w:lang w:eastAsia="ko-KR"/>
        </w:rPr>
        <w:t>Introduction</w:t>
      </w:r>
    </w:p>
    <w:p w14:paraId="63AC01F6" w14:textId="629029FD" w:rsidR="00C1458F" w:rsidRPr="00DF3E4F" w:rsidRDefault="00C1458F" w:rsidP="008D5C57">
      <w:pPr>
        <w:spacing w:before="120" w:after="120" w:line="240" w:lineRule="auto"/>
        <w:ind w:left="0" w:firstLine="0"/>
        <w:rPr>
          <w:rFonts w:eastAsia="바탕"/>
          <w:sz w:val="22"/>
          <w:szCs w:val="22"/>
          <w:lang w:val="en-US" w:eastAsia="ko-KR"/>
        </w:rPr>
      </w:pPr>
      <w:r w:rsidRPr="00DF3E4F">
        <w:rPr>
          <w:rFonts w:eastAsia="바탕"/>
          <w:sz w:val="22"/>
          <w:szCs w:val="22"/>
          <w:lang w:val="en-US" w:eastAsia="ko-KR"/>
        </w:rPr>
        <w:t xml:space="preserve">In </w:t>
      </w:r>
      <w:r w:rsidR="00B503E6">
        <w:rPr>
          <w:rFonts w:eastAsia="바탕"/>
          <w:sz w:val="22"/>
          <w:szCs w:val="22"/>
          <w:lang w:val="en-US" w:eastAsia="ko-KR"/>
        </w:rPr>
        <w:t>previous</w:t>
      </w:r>
      <w:r w:rsidR="00CB1D3C">
        <w:rPr>
          <w:rFonts w:eastAsia="바탕"/>
          <w:sz w:val="22"/>
          <w:szCs w:val="22"/>
          <w:lang w:val="en-US" w:eastAsia="ko-KR"/>
        </w:rPr>
        <w:t xml:space="preserve"> </w:t>
      </w:r>
      <w:r w:rsidRPr="00DF3E4F">
        <w:rPr>
          <w:rFonts w:eastAsia="바탕"/>
          <w:sz w:val="22"/>
          <w:szCs w:val="22"/>
          <w:lang w:val="en-US" w:eastAsia="ko-KR"/>
        </w:rPr>
        <w:t>meeting</w:t>
      </w:r>
      <w:r w:rsidR="0094633B">
        <w:rPr>
          <w:rFonts w:eastAsia="바탕"/>
          <w:sz w:val="22"/>
          <w:szCs w:val="22"/>
          <w:lang w:val="en-US" w:eastAsia="ko-KR"/>
        </w:rPr>
        <w:t xml:space="preserve"> </w:t>
      </w:r>
      <w:r w:rsidR="000C4234">
        <w:rPr>
          <w:rFonts w:eastAsia="바탕"/>
          <w:sz w:val="22"/>
          <w:szCs w:val="22"/>
          <w:lang w:val="en-US" w:eastAsia="ko-KR"/>
        </w:rPr>
        <w:t>[1]</w:t>
      </w:r>
      <w:r w:rsidRPr="00DF3E4F">
        <w:rPr>
          <w:rFonts w:eastAsia="바탕"/>
          <w:sz w:val="22"/>
          <w:szCs w:val="22"/>
          <w:lang w:val="en-US" w:eastAsia="ko-KR"/>
        </w:rPr>
        <w:t xml:space="preserve">, </w:t>
      </w:r>
      <w:r w:rsidR="0065175F">
        <w:rPr>
          <w:sz w:val="22"/>
          <w:szCs w:val="22"/>
          <w:lang w:eastAsia="ko-KR"/>
        </w:rPr>
        <w:t xml:space="preserve">the followings </w:t>
      </w:r>
      <w:r w:rsidR="0065175F" w:rsidRPr="006B2F6A">
        <w:rPr>
          <w:sz w:val="22"/>
          <w:szCs w:val="22"/>
          <w:lang w:eastAsia="ko-KR"/>
        </w:rPr>
        <w:t xml:space="preserve">were agreed related to </w:t>
      </w:r>
      <w:r w:rsidR="006B2F6A" w:rsidRPr="006B2F6A">
        <w:rPr>
          <w:rFonts w:eastAsia="바탕체"/>
          <w:sz w:val="22"/>
          <w:szCs w:val="22"/>
          <w:lang w:eastAsia="ko-KR"/>
        </w:rPr>
        <w:t>dual connectivity</w:t>
      </w:r>
      <w:r w:rsidR="0065175F">
        <w:rPr>
          <w:sz w:val="22"/>
          <w:szCs w:val="22"/>
          <w:lang w:eastAsia="ko-K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C1458F" w:rsidRPr="000B0013" w14:paraId="740BB1A5" w14:textId="77777777" w:rsidTr="00DF3E4F">
        <w:tc>
          <w:tcPr>
            <w:tcW w:w="9628" w:type="dxa"/>
            <w:shd w:val="clear" w:color="auto" w:fill="auto"/>
          </w:tcPr>
          <w:p w14:paraId="19934E77" w14:textId="77777777" w:rsidR="006B2F6A" w:rsidRPr="006B2F6A" w:rsidRDefault="006B2F6A" w:rsidP="006B2F6A">
            <w:pPr>
              <w:ind w:left="0" w:firstLine="0"/>
              <w:rPr>
                <w:b/>
                <w:iCs/>
                <w:u w:val="single"/>
                <w:lang w:val="en-US" w:eastAsia="ja-JP"/>
              </w:rPr>
            </w:pPr>
            <w:r w:rsidRPr="006B2F6A">
              <w:rPr>
                <w:rFonts w:hint="eastAsia"/>
                <w:b/>
                <w:iCs/>
                <w:u w:val="single"/>
                <w:lang w:val="en-US" w:eastAsia="ja-JP"/>
              </w:rPr>
              <w:t>Agreements:</w:t>
            </w:r>
          </w:p>
          <w:p w14:paraId="4335DF02" w14:textId="77777777" w:rsidR="006B2F6A" w:rsidRPr="006B2F6A" w:rsidRDefault="006B2F6A" w:rsidP="006B2F6A">
            <w:pPr>
              <w:numPr>
                <w:ilvl w:val="0"/>
                <w:numId w:val="41"/>
              </w:numPr>
              <w:spacing w:before="0" w:after="0" w:line="240" w:lineRule="auto"/>
              <w:jc w:val="left"/>
              <w:rPr>
                <w:iCs/>
                <w:lang w:val="en-US" w:eastAsia="ja-JP"/>
              </w:rPr>
            </w:pPr>
            <w:r w:rsidRPr="006B2F6A">
              <w:rPr>
                <w:iCs/>
                <w:lang w:eastAsia="ja-JP"/>
              </w:rPr>
              <w:t>Both synchronous and asynchronous dual connectivity are support for LTE-NR/NR-NR DC</w:t>
            </w:r>
          </w:p>
          <w:p w14:paraId="54983DF2" w14:textId="77777777" w:rsidR="006B2F6A" w:rsidRPr="005651F0" w:rsidRDefault="006B2F6A" w:rsidP="006B2F6A">
            <w:pPr>
              <w:ind w:left="0" w:firstLine="0"/>
              <w:rPr>
                <w:iCs/>
                <w:lang w:val="en-US" w:eastAsia="ja-JP"/>
              </w:rPr>
            </w:pPr>
            <w:r w:rsidRPr="006B2F6A">
              <w:rPr>
                <w:b/>
                <w:iCs/>
                <w:u w:val="single"/>
                <w:lang w:val="en-US" w:eastAsia="ja-JP"/>
              </w:rPr>
              <w:t>Agreements</w:t>
            </w:r>
            <w:r w:rsidRPr="006B2F6A">
              <w:rPr>
                <w:iCs/>
                <w:lang w:val="en-US" w:eastAsia="ja-JP"/>
              </w:rPr>
              <w:t>:</w:t>
            </w:r>
          </w:p>
          <w:p w14:paraId="6F8D50F1" w14:textId="77777777" w:rsidR="006B2F6A" w:rsidRPr="005651F0" w:rsidRDefault="006B2F6A" w:rsidP="006B2F6A">
            <w:pPr>
              <w:numPr>
                <w:ilvl w:val="0"/>
                <w:numId w:val="42"/>
              </w:numPr>
              <w:spacing w:before="0" w:after="0" w:line="240" w:lineRule="auto"/>
              <w:jc w:val="left"/>
              <w:rPr>
                <w:iCs/>
                <w:lang w:val="en-US" w:eastAsia="ja-JP"/>
              </w:rPr>
            </w:pPr>
            <w:r w:rsidRPr="005651F0">
              <w:rPr>
                <w:iCs/>
                <w:lang w:val="en-US" w:eastAsia="ja-JP"/>
              </w:rPr>
              <w:t>For carrier aggregation, multiple timing-advance groups are supported</w:t>
            </w:r>
          </w:p>
          <w:p w14:paraId="1B671A33" w14:textId="77777777" w:rsidR="006B2F6A" w:rsidRPr="005651F0" w:rsidRDefault="006B2F6A" w:rsidP="006B2F6A">
            <w:pPr>
              <w:numPr>
                <w:ilvl w:val="1"/>
                <w:numId w:val="42"/>
              </w:numPr>
              <w:spacing w:before="0" w:after="0" w:line="240" w:lineRule="auto"/>
              <w:jc w:val="left"/>
              <w:rPr>
                <w:iCs/>
                <w:lang w:val="en-US" w:eastAsia="ja-JP"/>
              </w:rPr>
            </w:pPr>
            <w:r w:rsidRPr="005651F0">
              <w:rPr>
                <w:iCs/>
                <w:lang w:val="en-US" w:eastAsia="ja-JP"/>
              </w:rPr>
              <w:t>FFS: The number of timing advance groups</w:t>
            </w:r>
          </w:p>
          <w:p w14:paraId="5D64D8B0" w14:textId="77777777" w:rsidR="006B2F6A" w:rsidRPr="005651F0" w:rsidRDefault="006B2F6A" w:rsidP="006B2F6A">
            <w:pPr>
              <w:numPr>
                <w:ilvl w:val="0"/>
                <w:numId w:val="42"/>
              </w:numPr>
              <w:spacing w:before="0" w:after="0" w:line="240" w:lineRule="auto"/>
              <w:jc w:val="left"/>
              <w:rPr>
                <w:iCs/>
                <w:lang w:val="en-US" w:eastAsia="ja-JP"/>
              </w:rPr>
            </w:pPr>
            <w:r w:rsidRPr="005651F0">
              <w:rPr>
                <w:iCs/>
                <w:lang w:val="en-US" w:eastAsia="ja-JP"/>
              </w:rPr>
              <w:t xml:space="preserve">For </w:t>
            </w:r>
            <w:r w:rsidRPr="005651F0">
              <w:rPr>
                <w:rFonts w:hint="eastAsia"/>
                <w:iCs/>
                <w:lang w:val="en-US" w:eastAsia="ja-JP"/>
              </w:rPr>
              <w:t>LTE-NR DC,</w:t>
            </w:r>
            <w:r w:rsidRPr="005651F0">
              <w:rPr>
                <w:iCs/>
                <w:lang w:val="en-US" w:eastAsia="ja-JP"/>
              </w:rPr>
              <w:t xml:space="preserve"> from UE perspective,</w:t>
            </w:r>
          </w:p>
          <w:p w14:paraId="00D9C0B1" w14:textId="77777777" w:rsidR="006B2F6A" w:rsidRPr="005651F0" w:rsidRDefault="006B2F6A" w:rsidP="006B2F6A">
            <w:pPr>
              <w:numPr>
                <w:ilvl w:val="1"/>
                <w:numId w:val="42"/>
              </w:numPr>
              <w:spacing w:before="0" w:after="0" w:line="240" w:lineRule="auto"/>
              <w:jc w:val="left"/>
              <w:rPr>
                <w:iCs/>
                <w:lang w:val="en-US" w:eastAsia="ja-JP"/>
              </w:rPr>
            </w:pPr>
            <w:r w:rsidRPr="005651F0">
              <w:rPr>
                <w:iCs/>
                <w:lang w:val="en-US" w:eastAsia="ja-JP"/>
              </w:rPr>
              <w:t>The deployment scenario that LTE eNB are not synchronized with NR gNB when operating on different and non-overlapping carrier frequencies is supported.</w:t>
            </w:r>
          </w:p>
          <w:p w14:paraId="3CC1F73B" w14:textId="77777777" w:rsidR="006B2F6A" w:rsidRPr="005651F0" w:rsidRDefault="006B2F6A" w:rsidP="006B2F6A">
            <w:pPr>
              <w:numPr>
                <w:ilvl w:val="1"/>
                <w:numId w:val="42"/>
              </w:numPr>
              <w:spacing w:before="0" w:after="0" w:line="240" w:lineRule="auto"/>
              <w:jc w:val="left"/>
              <w:rPr>
                <w:iCs/>
                <w:lang w:val="en-US" w:eastAsia="ja-JP"/>
              </w:rPr>
            </w:pPr>
            <w:r w:rsidRPr="005651F0">
              <w:rPr>
                <w:iCs/>
                <w:lang w:val="en-US" w:eastAsia="ja-JP"/>
              </w:rPr>
              <w:t>The deployment scenario that LTE eNB are synchronized with NR gNB is supported when operating on different and non-overlapping carrier frequencies is supported.</w:t>
            </w:r>
          </w:p>
          <w:p w14:paraId="78365D5C" w14:textId="77777777" w:rsidR="006B2F6A" w:rsidRPr="005651F0" w:rsidRDefault="006B2F6A" w:rsidP="006B2F6A">
            <w:pPr>
              <w:numPr>
                <w:ilvl w:val="0"/>
                <w:numId w:val="42"/>
              </w:numPr>
              <w:spacing w:before="0" w:after="0" w:line="240" w:lineRule="auto"/>
              <w:jc w:val="left"/>
              <w:rPr>
                <w:iCs/>
                <w:lang w:val="en-US" w:eastAsia="ja-JP"/>
              </w:rPr>
            </w:pPr>
            <w:r w:rsidRPr="005651F0">
              <w:rPr>
                <w:iCs/>
                <w:lang w:val="en-US" w:eastAsia="ja-JP"/>
              </w:rPr>
              <w:t>For NR-NR DC,</w:t>
            </w:r>
            <w:r w:rsidRPr="005651F0">
              <w:rPr>
                <w:rFonts w:hint="eastAsia"/>
                <w:iCs/>
                <w:lang w:val="en-US" w:eastAsia="ja-JP"/>
              </w:rPr>
              <w:t xml:space="preserve"> </w:t>
            </w:r>
            <w:r w:rsidRPr="005651F0">
              <w:rPr>
                <w:iCs/>
                <w:lang w:val="en-US" w:eastAsia="ja-JP"/>
              </w:rPr>
              <w:t>from UE perspective,</w:t>
            </w:r>
          </w:p>
          <w:p w14:paraId="58A8904D" w14:textId="77777777" w:rsidR="006B2F6A" w:rsidRPr="005651F0" w:rsidRDefault="006B2F6A" w:rsidP="006B2F6A">
            <w:pPr>
              <w:numPr>
                <w:ilvl w:val="1"/>
                <w:numId w:val="42"/>
              </w:numPr>
              <w:spacing w:before="0" w:after="0" w:line="240" w:lineRule="auto"/>
              <w:jc w:val="left"/>
              <w:rPr>
                <w:iCs/>
                <w:lang w:val="en-US" w:eastAsia="ja-JP"/>
              </w:rPr>
            </w:pPr>
            <w:r w:rsidRPr="005651F0">
              <w:rPr>
                <w:iCs/>
                <w:lang w:val="en-US" w:eastAsia="ja-JP"/>
              </w:rPr>
              <w:t>The deployment scenario that one NR gNB are not synchronized with another NR gNB for different cell-groups at least when operating on different and non-overlapping carrier frequencies is supported.</w:t>
            </w:r>
          </w:p>
          <w:p w14:paraId="55B4B9CE" w14:textId="77777777" w:rsidR="006B2F6A" w:rsidRPr="005651F0" w:rsidRDefault="006B2F6A" w:rsidP="006B2F6A">
            <w:pPr>
              <w:numPr>
                <w:ilvl w:val="1"/>
                <w:numId w:val="42"/>
              </w:numPr>
              <w:spacing w:before="0" w:after="0" w:line="240" w:lineRule="auto"/>
              <w:jc w:val="left"/>
              <w:rPr>
                <w:iCs/>
                <w:lang w:val="en-US" w:eastAsia="ja-JP"/>
              </w:rPr>
            </w:pPr>
            <w:r w:rsidRPr="005651F0">
              <w:rPr>
                <w:iCs/>
                <w:lang w:val="en-US" w:eastAsia="ja-JP"/>
              </w:rPr>
              <w:t>The deployment scenario that one NR gNB are synchronized with another NR gNB for different cell-groups at least when operating on different and non-overlapping carrier frequencies is supported.</w:t>
            </w:r>
          </w:p>
          <w:p w14:paraId="1148F9E4" w14:textId="77777777" w:rsidR="006B2F6A" w:rsidRPr="005651F0" w:rsidRDefault="006B2F6A" w:rsidP="006B2F6A">
            <w:pPr>
              <w:numPr>
                <w:ilvl w:val="0"/>
                <w:numId w:val="42"/>
              </w:numPr>
              <w:spacing w:before="0" w:after="0" w:line="240" w:lineRule="auto"/>
              <w:jc w:val="left"/>
              <w:rPr>
                <w:iCs/>
                <w:lang w:val="en-US" w:eastAsia="ja-JP"/>
              </w:rPr>
            </w:pPr>
            <w:r w:rsidRPr="005651F0">
              <w:rPr>
                <w:iCs/>
                <w:lang w:val="en-US" w:eastAsia="ja-JP"/>
              </w:rPr>
              <w:t>FFS: exact definition of synchronous</w:t>
            </w:r>
          </w:p>
          <w:p w14:paraId="423E889C" w14:textId="37A76271" w:rsidR="002403B7" w:rsidRPr="0065175F" w:rsidRDefault="006B2F6A" w:rsidP="006B2F6A">
            <w:pPr>
              <w:numPr>
                <w:ilvl w:val="1"/>
                <w:numId w:val="13"/>
              </w:numPr>
              <w:spacing w:before="0" w:after="0" w:line="240" w:lineRule="auto"/>
              <w:jc w:val="left"/>
              <w:rPr>
                <w:lang w:val="en-US" w:eastAsia="ja-JP"/>
              </w:rPr>
            </w:pPr>
            <w:r w:rsidRPr="005651F0">
              <w:rPr>
                <w:iCs/>
                <w:lang w:val="en-US" w:eastAsia="ja-JP"/>
              </w:rPr>
              <w:t xml:space="preserve">For LTE-NR/NR-NR DC, </w:t>
            </w:r>
            <w:r w:rsidRPr="005651F0">
              <w:rPr>
                <w:iCs/>
                <w:lang w:eastAsia="ja-JP"/>
              </w:rPr>
              <w:t>scheduling and HARQ mechanisms/procedures between cell-groups are independent</w:t>
            </w:r>
          </w:p>
        </w:tc>
      </w:tr>
    </w:tbl>
    <w:p w14:paraId="0865DAF3" w14:textId="3AAF1948" w:rsidR="00873B15" w:rsidRPr="00017527" w:rsidRDefault="00BD6357" w:rsidP="0094633B">
      <w:pPr>
        <w:ind w:left="0" w:firstLine="0"/>
        <w:rPr>
          <w:rFonts w:eastAsiaTheme="minorEastAsia"/>
          <w:b/>
          <w:i/>
          <w:sz w:val="22"/>
          <w:szCs w:val="22"/>
          <w:lang w:eastAsia="ko-KR"/>
        </w:rPr>
      </w:pPr>
      <w:r w:rsidRPr="00CA73BC">
        <w:rPr>
          <w:sz w:val="22"/>
          <w:szCs w:val="22"/>
          <w:lang w:eastAsia="ko-KR"/>
        </w:rPr>
        <w:t xml:space="preserve">In this contribution, </w:t>
      </w:r>
      <w:r w:rsidR="0065175F">
        <w:rPr>
          <w:sz w:val="22"/>
          <w:szCs w:val="22"/>
          <w:lang w:eastAsia="ko-KR"/>
        </w:rPr>
        <w:t xml:space="preserve">we further discuss </w:t>
      </w:r>
      <w:r w:rsidR="006B2F6A">
        <w:rPr>
          <w:sz w:val="22"/>
          <w:szCs w:val="22"/>
          <w:lang w:eastAsia="ko-KR"/>
        </w:rPr>
        <w:t>scheduling/HARQ aspects for dual connectivity</w:t>
      </w:r>
      <w:r w:rsidR="002403B7">
        <w:rPr>
          <w:rFonts w:eastAsiaTheme="minorEastAsia" w:hint="eastAsia"/>
          <w:sz w:val="22"/>
          <w:szCs w:val="22"/>
          <w:lang w:eastAsia="ko-KR"/>
        </w:rPr>
        <w:t xml:space="preserve">. </w:t>
      </w:r>
    </w:p>
    <w:p w14:paraId="357BE0A3" w14:textId="6DA00DBF" w:rsidR="00040958" w:rsidRPr="0028212A" w:rsidRDefault="002063E6" w:rsidP="00560857">
      <w:pPr>
        <w:pStyle w:val="1"/>
        <w:numPr>
          <w:ilvl w:val="0"/>
          <w:numId w:val="2"/>
        </w:numPr>
        <w:spacing w:after="0"/>
        <w:rPr>
          <w:rFonts w:eastAsia="바탕" w:cs="Arial"/>
          <w:b/>
          <w:szCs w:val="32"/>
          <w:lang w:eastAsia="ko-KR"/>
        </w:rPr>
      </w:pPr>
      <w:r>
        <w:rPr>
          <w:rFonts w:eastAsiaTheme="minorEastAsia" w:cs="Arial"/>
          <w:b/>
          <w:szCs w:val="28"/>
          <w:lang w:eastAsia="ko-KR"/>
        </w:rPr>
        <w:t>Scheduling aspects</w:t>
      </w:r>
    </w:p>
    <w:p w14:paraId="4FB07721" w14:textId="65380075" w:rsidR="0026730A" w:rsidRDefault="00927A10" w:rsidP="0026730A">
      <w:pPr>
        <w:ind w:left="0" w:firstLine="0"/>
        <w:rPr>
          <w:rFonts w:eastAsiaTheme="minorEastAsia"/>
          <w:lang w:eastAsia="ko-KR"/>
        </w:rPr>
      </w:pPr>
      <w:r>
        <w:rPr>
          <w:rFonts w:eastAsiaTheme="minorEastAsia" w:hint="eastAsia"/>
          <w:lang w:eastAsia="ko-KR"/>
        </w:rPr>
        <w:t xml:space="preserve">As agreed, scheduling and HARQ mechanisms can be independent between carrier groups. </w:t>
      </w:r>
      <w:r>
        <w:rPr>
          <w:rFonts w:eastAsiaTheme="minorEastAsia"/>
          <w:lang w:eastAsia="ko-KR"/>
        </w:rPr>
        <w:t xml:space="preserve">Further, we consider that NR and LTE carrier would not be aggregated within a carrier group. In other words, it is assumed that one RAT type is used in one carrier group. </w:t>
      </w:r>
    </w:p>
    <w:p w14:paraId="30766EC8" w14:textId="62B365D1" w:rsidR="00927A10" w:rsidRDefault="00927A10" w:rsidP="0026730A">
      <w:pPr>
        <w:ind w:left="0" w:firstLine="0"/>
        <w:rPr>
          <w:rFonts w:eastAsiaTheme="minorEastAsia"/>
          <w:b/>
          <w:i/>
          <w:lang w:eastAsia="ko-KR"/>
        </w:rPr>
      </w:pPr>
      <w:r w:rsidRPr="001427B7">
        <w:rPr>
          <w:rFonts w:eastAsiaTheme="minorEastAsia"/>
          <w:b/>
          <w:i/>
          <w:lang w:eastAsia="ko-KR"/>
        </w:rPr>
        <w:t xml:space="preserve">Proposal 1: In a carrier group, either LTE carriers or NR carriers are aggregated. LTE and NR carriers are not aggregated within a carrier group. </w:t>
      </w:r>
    </w:p>
    <w:p w14:paraId="487A5C9C" w14:textId="6BF230A1" w:rsidR="001427B7" w:rsidRDefault="001427B7" w:rsidP="0026730A">
      <w:pPr>
        <w:ind w:left="0" w:firstLine="0"/>
        <w:rPr>
          <w:rFonts w:eastAsiaTheme="minorEastAsia"/>
          <w:lang w:eastAsia="ko-KR"/>
        </w:rPr>
      </w:pPr>
      <w:r>
        <w:rPr>
          <w:rFonts w:eastAsiaTheme="minorEastAsia"/>
          <w:lang w:eastAsia="ko-KR"/>
        </w:rPr>
        <w:lastRenderedPageBreak/>
        <w:t xml:space="preserve">In one carrier group, </w:t>
      </w:r>
      <w:r w:rsidR="007C5FD6">
        <w:rPr>
          <w:rFonts w:eastAsiaTheme="minorEastAsia"/>
          <w:lang w:eastAsia="ko-KR"/>
        </w:rPr>
        <w:t>behaviour</w:t>
      </w:r>
      <w:r>
        <w:rPr>
          <w:rFonts w:eastAsiaTheme="minorEastAsia"/>
          <w:lang w:eastAsia="ko-KR"/>
        </w:rPr>
        <w:t xml:space="preserve"> of carrier aggregation for LTE or NR is used. Within a NR carrier group, it is supported that more than one PUCCH group is configured. In other words, a UE can transmit PUCCH via more than one carriers. Generally, the principles from LTE dual connectivity is used for NR-LTE or NR-NR dual connectivity. </w:t>
      </w:r>
    </w:p>
    <w:p w14:paraId="47FA29B3" w14:textId="60622D9A" w:rsidR="001427B7" w:rsidRDefault="001427B7" w:rsidP="001427B7">
      <w:pPr>
        <w:pStyle w:val="ad"/>
        <w:numPr>
          <w:ilvl w:val="0"/>
          <w:numId w:val="43"/>
        </w:numPr>
        <w:ind w:leftChars="0"/>
        <w:rPr>
          <w:rFonts w:ascii="Times New Roman" w:eastAsiaTheme="minorEastAsia" w:hAnsi="Times New Roman" w:cs="Times New Roman"/>
        </w:rPr>
      </w:pPr>
      <w:r>
        <w:rPr>
          <w:rFonts w:ascii="Times New Roman" w:eastAsiaTheme="minorEastAsia" w:hAnsi="Times New Roman" w:cs="Times New Roman"/>
        </w:rPr>
        <w:t>UCI piggyback occurs within carrier group.</w:t>
      </w:r>
    </w:p>
    <w:p w14:paraId="354CDA5F" w14:textId="075E2293" w:rsidR="001427B7" w:rsidRDefault="001427B7" w:rsidP="001427B7">
      <w:pPr>
        <w:pStyle w:val="ad"/>
        <w:numPr>
          <w:ilvl w:val="0"/>
          <w:numId w:val="43"/>
        </w:numPr>
        <w:ind w:leftChars="0"/>
        <w:rPr>
          <w:rFonts w:ascii="Times New Roman" w:eastAsiaTheme="minorEastAsia" w:hAnsi="Times New Roman" w:cs="Times New Roman"/>
        </w:rPr>
      </w:pPr>
      <w:r>
        <w:rPr>
          <w:rFonts w:ascii="Times New Roman" w:eastAsiaTheme="minorEastAsia" w:hAnsi="Times New Roman" w:cs="Times New Roman"/>
        </w:rPr>
        <w:t>Cross-carrier scheduling occurs only within the same carrier group</w:t>
      </w:r>
    </w:p>
    <w:p w14:paraId="1755E8FB" w14:textId="77777777" w:rsidR="00927A10" w:rsidRPr="0026730A" w:rsidRDefault="00927A10" w:rsidP="0026730A">
      <w:pPr>
        <w:ind w:left="0" w:firstLine="0"/>
        <w:rPr>
          <w:rFonts w:eastAsiaTheme="minorEastAsia"/>
          <w:lang w:eastAsia="ko-KR"/>
        </w:rPr>
      </w:pPr>
    </w:p>
    <w:p w14:paraId="3AAE1F2D" w14:textId="2648EB9B" w:rsidR="0028212A" w:rsidRDefault="001427B7" w:rsidP="0028212A">
      <w:pPr>
        <w:pStyle w:val="1"/>
        <w:numPr>
          <w:ilvl w:val="0"/>
          <w:numId w:val="2"/>
        </w:numPr>
        <w:spacing w:after="0"/>
        <w:rPr>
          <w:rFonts w:eastAsia="바탕" w:cs="Arial"/>
          <w:b/>
          <w:szCs w:val="32"/>
          <w:lang w:eastAsia="ko-KR"/>
        </w:rPr>
      </w:pPr>
      <w:r>
        <w:rPr>
          <w:rFonts w:eastAsia="바탕" w:cs="Arial"/>
          <w:b/>
          <w:szCs w:val="32"/>
          <w:lang w:eastAsia="ko-KR"/>
        </w:rPr>
        <w:t>TBS and Soft buffer</w:t>
      </w:r>
    </w:p>
    <w:p w14:paraId="56834E0F" w14:textId="45408214" w:rsidR="001427B7" w:rsidRDefault="001427B7" w:rsidP="001427B7">
      <w:pPr>
        <w:ind w:left="0" w:firstLine="0"/>
        <w:rPr>
          <w:rFonts w:eastAsiaTheme="minorEastAsia"/>
          <w:lang w:eastAsia="ko-KR"/>
        </w:rPr>
      </w:pPr>
      <w:r>
        <w:rPr>
          <w:rFonts w:eastAsiaTheme="minorEastAsia" w:hint="cs"/>
          <w:lang w:eastAsia="ko-KR"/>
        </w:rPr>
        <w:t xml:space="preserve">In LTE dual connectivity, </w:t>
      </w:r>
      <w:r w:rsidR="00F62F6C">
        <w:rPr>
          <w:rFonts w:eastAsiaTheme="minorEastAsia"/>
          <w:lang w:eastAsia="ko-KR"/>
        </w:rPr>
        <w:t xml:space="preserve">soft channel bits of CA is reused for dual connectivity. In NR, similar principle can be used where the same principle between CA and DC can be used for soft channel bit handling. Between NR and LTE, we consider sharing the soft buffer can be also considered. If soft buffer is shared between two, similar mechanism as in LTE may be reused. However, it is noted that different partitioning of soft buffer may be used in NR. One example is to allocate different soft buffer </w:t>
      </w:r>
      <w:r w:rsidR="007C5FD6">
        <w:rPr>
          <w:rFonts w:eastAsiaTheme="minorEastAsia"/>
          <w:lang w:eastAsia="ko-KR"/>
        </w:rPr>
        <w:t xml:space="preserve">size </w:t>
      </w:r>
      <w:r w:rsidR="00F62F6C">
        <w:rPr>
          <w:rFonts w:eastAsiaTheme="minorEastAsia"/>
          <w:lang w:eastAsia="ko-KR"/>
        </w:rPr>
        <w:t xml:space="preserve">depending on used numerology and/or carrier bandwidth. </w:t>
      </w:r>
    </w:p>
    <w:p w14:paraId="247A1D2C" w14:textId="7A7AE2CA" w:rsidR="00F62F6C" w:rsidRDefault="00F62F6C" w:rsidP="001427B7">
      <w:pPr>
        <w:ind w:left="0" w:firstLine="0"/>
        <w:rPr>
          <w:rFonts w:eastAsiaTheme="minorEastAsia"/>
          <w:lang w:eastAsia="ko-KR"/>
        </w:rPr>
      </w:pPr>
      <w:r>
        <w:rPr>
          <w:rFonts w:eastAsiaTheme="minorEastAsia"/>
          <w:lang w:eastAsia="ko-KR"/>
        </w:rPr>
        <w:t xml:space="preserve">For TBS, between NR and NR DC, it can be considered to share maximum capability of a UE between two carrier groups which may also allow configuration or scheduling of maximum TBS exceeding UE capability. However, between LTE and NR DC, with different coding and different baseband implementation, it is generally desired to separate UE capabilities between LTE and NR. In other words, UE capabilities are indicated separately between LTE and NR where baseband capabilities may not be shared between LTE and NR. </w:t>
      </w:r>
    </w:p>
    <w:p w14:paraId="1E389CE3" w14:textId="29C23AD8" w:rsidR="00F62F6C" w:rsidRDefault="00F62F6C" w:rsidP="001427B7">
      <w:pPr>
        <w:ind w:left="0" w:firstLine="0"/>
        <w:rPr>
          <w:rFonts w:eastAsiaTheme="minorEastAsia"/>
          <w:b/>
          <w:i/>
          <w:lang w:eastAsia="ko-KR"/>
        </w:rPr>
      </w:pPr>
      <w:r w:rsidRPr="001427B7">
        <w:rPr>
          <w:rFonts w:eastAsiaTheme="minorEastAsia"/>
          <w:b/>
          <w:i/>
          <w:lang w:eastAsia="ko-KR"/>
        </w:rPr>
        <w:t xml:space="preserve">Proposal </w:t>
      </w:r>
      <w:r>
        <w:rPr>
          <w:rFonts w:eastAsiaTheme="minorEastAsia"/>
          <w:b/>
          <w:i/>
          <w:lang w:eastAsia="ko-KR"/>
        </w:rPr>
        <w:t>2</w:t>
      </w:r>
      <w:r w:rsidRPr="001427B7">
        <w:rPr>
          <w:rFonts w:eastAsiaTheme="minorEastAsia"/>
          <w:b/>
          <w:i/>
          <w:lang w:eastAsia="ko-KR"/>
        </w:rPr>
        <w:t xml:space="preserve">: </w:t>
      </w:r>
      <w:r>
        <w:rPr>
          <w:rFonts w:eastAsiaTheme="minorEastAsia"/>
          <w:b/>
          <w:i/>
          <w:lang w:eastAsia="ko-KR"/>
        </w:rPr>
        <w:t>Baseband capabilities such as maximum number of TB bits in a TTI or MIMO capability is not shared between LTE and NR</w:t>
      </w:r>
      <w:r w:rsidR="00800023">
        <w:rPr>
          <w:rFonts w:eastAsiaTheme="minorEastAsia"/>
          <w:b/>
          <w:i/>
          <w:lang w:eastAsia="ko-KR"/>
        </w:rPr>
        <w:t xml:space="preserve"> carrier group</w:t>
      </w:r>
      <w:r w:rsidRPr="001427B7">
        <w:rPr>
          <w:rFonts w:eastAsiaTheme="minorEastAsia"/>
          <w:b/>
          <w:i/>
          <w:lang w:eastAsia="ko-KR"/>
        </w:rPr>
        <w:t xml:space="preserve">. </w:t>
      </w:r>
    </w:p>
    <w:p w14:paraId="3EE631CF" w14:textId="0ACFF961" w:rsidR="0065175F" w:rsidRDefault="001D263D" w:rsidP="003A5BEE">
      <w:pPr>
        <w:pStyle w:val="1"/>
        <w:numPr>
          <w:ilvl w:val="0"/>
          <w:numId w:val="2"/>
        </w:numPr>
        <w:rPr>
          <w:rFonts w:eastAsia="바탕"/>
          <w:b/>
          <w:lang w:eastAsia="ko-KR"/>
        </w:rPr>
      </w:pPr>
      <w:r>
        <w:rPr>
          <w:rFonts w:eastAsia="바탕"/>
          <w:b/>
          <w:lang w:eastAsia="ko-KR"/>
        </w:rPr>
        <w:t>Measurement Gap</w:t>
      </w:r>
    </w:p>
    <w:p w14:paraId="4F453D71" w14:textId="16CF01AE" w:rsidR="001D263D" w:rsidRDefault="001D263D" w:rsidP="001D263D">
      <w:pPr>
        <w:ind w:left="0" w:firstLine="0"/>
        <w:rPr>
          <w:rFonts w:eastAsiaTheme="minorEastAsia"/>
          <w:lang w:eastAsia="ko-KR"/>
        </w:rPr>
      </w:pPr>
      <w:r>
        <w:rPr>
          <w:rFonts w:eastAsiaTheme="minorEastAsia" w:hint="eastAsia"/>
          <w:lang w:eastAsia="ko-KR"/>
        </w:rPr>
        <w:t>In LTE, a common measurement gap is configured between MCG and SCG</w:t>
      </w:r>
      <w:r w:rsidR="006123AE">
        <w:rPr>
          <w:rFonts w:eastAsiaTheme="minorEastAsia"/>
          <w:lang w:eastAsia="ko-KR"/>
        </w:rPr>
        <w:t xml:space="preserve"> depending on UE RF capability. With measurement gap enhancement, separate measurement gap can be configured per CC depending on UE RF capability. For LTE and NR dual connectivity, similar to LTE carriers, depending on UE RF capability, a common or separate measurement gap can be considered for NR-LTE DC. If we consider DC between low frequency LTE and high frequency NR (e.g., below 6 GHz LTE and above 6 GHz NR), it is generally expected that separate RF chain is used for LTE and NR. In this case, separate measurement gap can be configured in each carrier group or per carrier.</w:t>
      </w:r>
      <w:r w:rsidR="00D32CB2">
        <w:rPr>
          <w:rFonts w:eastAsiaTheme="minorEastAsia"/>
          <w:lang w:eastAsia="ko-KR"/>
        </w:rPr>
        <w:t xml:space="preserve"> When the alignment of measurement gap is necessary between two carrier groups, coordination at eNB/gNB can be considered. </w:t>
      </w:r>
    </w:p>
    <w:p w14:paraId="639DFC4D" w14:textId="3632125F" w:rsidR="00D32CB2" w:rsidRDefault="00D32CB2" w:rsidP="001D263D">
      <w:pPr>
        <w:ind w:left="0" w:firstLine="0"/>
        <w:rPr>
          <w:rFonts w:eastAsiaTheme="minorEastAsia"/>
          <w:b/>
          <w:i/>
          <w:lang w:eastAsia="ko-KR"/>
        </w:rPr>
      </w:pPr>
      <w:r w:rsidRPr="001427B7">
        <w:rPr>
          <w:rFonts w:eastAsiaTheme="minorEastAsia"/>
          <w:b/>
          <w:i/>
          <w:lang w:eastAsia="ko-KR"/>
        </w:rPr>
        <w:t xml:space="preserve">Proposal </w:t>
      </w:r>
      <w:r>
        <w:rPr>
          <w:rFonts w:eastAsiaTheme="minorEastAsia"/>
          <w:b/>
          <w:i/>
          <w:lang w:eastAsia="ko-KR"/>
        </w:rPr>
        <w:t>3</w:t>
      </w:r>
      <w:r w:rsidRPr="001427B7">
        <w:rPr>
          <w:rFonts w:eastAsiaTheme="minorEastAsia"/>
          <w:b/>
          <w:i/>
          <w:lang w:eastAsia="ko-KR"/>
        </w:rPr>
        <w:t xml:space="preserve">: </w:t>
      </w:r>
      <w:r>
        <w:rPr>
          <w:rFonts w:eastAsiaTheme="minorEastAsia"/>
          <w:b/>
          <w:i/>
          <w:lang w:eastAsia="ko-KR"/>
        </w:rPr>
        <w:t>Measurement gap can be configured independently per carrier group</w:t>
      </w:r>
      <w:r w:rsidRPr="001427B7">
        <w:rPr>
          <w:rFonts w:eastAsiaTheme="minorEastAsia"/>
          <w:b/>
          <w:i/>
          <w:lang w:eastAsia="ko-KR"/>
        </w:rPr>
        <w:t>.</w:t>
      </w:r>
      <w:r>
        <w:rPr>
          <w:rFonts w:eastAsiaTheme="minorEastAsia"/>
          <w:b/>
          <w:i/>
          <w:lang w:eastAsia="ko-KR"/>
        </w:rPr>
        <w:t xml:space="preserve"> In case coordination is necessary, the measurement gap can be coordinated among carrier groups by configuration. </w:t>
      </w:r>
    </w:p>
    <w:p w14:paraId="039C78D9" w14:textId="6B95404B" w:rsidR="00D32CB2" w:rsidRDefault="00D32CB2" w:rsidP="00D32CB2">
      <w:pPr>
        <w:pStyle w:val="1"/>
        <w:numPr>
          <w:ilvl w:val="0"/>
          <w:numId w:val="2"/>
        </w:numPr>
        <w:rPr>
          <w:rFonts w:eastAsia="바탕"/>
          <w:b/>
          <w:lang w:eastAsia="ko-KR"/>
        </w:rPr>
      </w:pPr>
      <w:r>
        <w:rPr>
          <w:rFonts w:eastAsia="바탕"/>
          <w:b/>
          <w:lang w:eastAsia="ko-KR"/>
        </w:rPr>
        <w:t>LTE eNB assistance on NR Initial access</w:t>
      </w:r>
    </w:p>
    <w:p w14:paraId="2776620E" w14:textId="2C3C3F85" w:rsidR="00D32CB2" w:rsidRDefault="00D32CB2" w:rsidP="001D263D">
      <w:pPr>
        <w:ind w:left="0" w:firstLine="0"/>
        <w:rPr>
          <w:rFonts w:eastAsiaTheme="minorEastAsia"/>
          <w:lang w:eastAsia="ko-KR"/>
        </w:rPr>
      </w:pPr>
      <w:r>
        <w:rPr>
          <w:rFonts w:eastAsiaTheme="minorEastAsia" w:hint="eastAsia"/>
          <w:lang w:eastAsia="ko-KR"/>
        </w:rPr>
        <w:t xml:space="preserve">As a UE can receive RRC messages from LTE eNB via MCG, it is also desirable to configure information related to NR initial access. </w:t>
      </w:r>
      <w:r>
        <w:rPr>
          <w:rFonts w:eastAsiaTheme="minorEastAsia"/>
          <w:lang w:eastAsia="ko-KR"/>
        </w:rPr>
        <w:t>Example of such assistance can include SS block periodicity, frequency location, measurement (CSI-RS</w:t>
      </w:r>
      <w:r w:rsidR="00D114FE">
        <w:rPr>
          <w:rFonts w:eastAsiaTheme="minorEastAsia"/>
          <w:lang w:eastAsia="ko-KR"/>
        </w:rPr>
        <w:t xml:space="preserve"> configurations, measurem</w:t>
      </w:r>
      <w:r w:rsidR="007C5FD6">
        <w:rPr>
          <w:rFonts w:eastAsiaTheme="minorEastAsia"/>
          <w:lang w:eastAsia="ko-KR"/>
        </w:rPr>
        <w:t>ent bandwidth</w:t>
      </w:r>
      <w:r>
        <w:rPr>
          <w:rFonts w:eastAsiaTheme="minorEastAsia"/>
          <w:lang w:eastAsia="ko-KR"/>
        </w:rPr>
        <w:t>) configurations, etc. When assistance information is given by LTE eNB, the UE can utilize the information for initial access</w:t>
      </w:r>
      <w:r w:rsidR="007C5FD6">
        <w:rPr>
          <w:rFonts w:eastAsiaTheme="minorEastAsia"/>
          <w:lang w:eastAsia="ko-KR"/>
        </w:rPr>
        <w:t xml:space="preserve"> for NR</w:t>
      </w:r>
      <w:r>
        <w:rPr>
          <w:rFonts w:eastAsiaTheme="minorEastAsia"/>
          <w:lang w:eastAsia="ko-KR"/>
        </w:rPr>
        <w:t xml:space="preserve">. </w:t>
      </w:r>
    </w:p>
    <w:p w14:paraId="57189F96" w14:textId="5BD071C9" w:rsidR="00D32CB2" w:rsidRPr="001D263D" w:rsidRDefault="00D32CB2" w:rsidP="001D263D">
      <w:pPr>
        <w:ind w:left="0" w:firstLine="0"/>
        <w:rPr>
          <w:rFonts w:eastAsiaTheme="minorEastAsia"/>
          <w:lang w:eastAsia="ko-KR"/>
        </w:rPr>
      </w:pPr>
      <w:r w:rsidRPr="001427B7">
        <w:rPr>
          <w:rFonts w:eastAsiaTheme="minorEastAsia"/>
          <w:b/>
          <w:i/>
          <w:lang w:eastAsia="ko-KR"/>
        </w:rPr>
        <w:lastRenderedPageBreak/>
        <w:t xml:space="preserve">Proposal </w:t>
      </w:r>
      <w:r>
        <w:rPr>
          <w:rFonts w:eastAsiaTheme="minorEastAsia"/>
          <w:b/>
          <w:i/>
          <w:lang w:eastAsia="ko-KR"/>
        </w:rPr>
        <w:t>4</w:t>
      </w:r>
      <w:r w:rsidRPr="001427B7">
        <w:rPr>
          <w:rFonts w:eastAsiaTheme="minorEastAsia"/>
          <w:b/>
          <w:i/>
          <w:lang w:eastAsia="ko-KR"/>
        </w:rPr>
        <w:t xml:space="preserve">: </w:t>
      </w:r>
      <w:r>
        <w:rPr>
          <w:rFonts w:eastAsiaTheme="minorEastAsia"/>
          <w:b/>
          <w:i/>
          <w:lang w:eastAsia="ko-KR"/>
        </w:rPr>
        <w:t>LTE-MCG can assist a UE for initial cell search on NR SCG carriers.</w:t>
      </w:r>
    </w:p>
    <w:p w14:paraId="450A0DB8" w14:textId="77777777" w:rsidR="00ED1F6F" w:rsidRDefault="00ED1F6F" w:rsidP="003A5BEE">
      <w:pPr>
        <w:pStyle w:val="1"/>
        <w:numPr>
          <w:ilvl w:val="0"/>
          <w:numId w:val="2"/>
        </w:numPr>
        <w:rPr>
          <w:rFonts w:eastAsia="바탕"/>
          <w:b/>
          <w:lang w:eastAsia="ko-KR"/>
        </w:rPr>
      </w:pPr>
      <w:r>
        <w:rPr>
          <w:rFonts w:eastAsia="바탕"/>
          <w:b/>
          <w:lang w:eastAsia="ko-KR"/>
        </w:rPr>
        <w:t>Conclusion</w:t>
      </w:r>
    </w:p>
    <w:p w14:paraId="156F28AD" w14:textId="07CCEE1E" w:rsidR="00DC782C" w:rsidRDefault="007C5FD6" w:rsidP="008D5C57">
      <w:pPr>
        <w:ind w:left="0" w:hanging="1"/>
        <w:rPr>
          <w:rFonts w:eastAsia="맑은 고딕"/>
          <w:sz w:val="22"/>
          <w:lang w:eastAsia="ko-KR"/>
        </w:rPr>
      </w:pPr>
      <w:r>
        <w:rPr>
          <w:rFonts w:eastAsia="맑은 고딕" w:hint="eastAsia"/>
          <w:sz w:val="22"/>
          <w:lang w:eastAsia="ko-KR"/>
        </w:rPr>
        <w:t xml:space="preserve">We discussed scheduling aspects for dual connectivity particularly for LTE-NR DC, and proposed the followings. </w:t>
      </w:r>
    </w:p>
    <w:p w14:paraId="45FEC195" w14:textId="77777777" w:rsidR="007C5FD6" w:rsidRDefault="007C5FD6" w:rsidP="007C5FD6">
      <w:pPr>
        <w:ind w:left="0" w:firstLine="0"/>
        <w:rPr>
          <w:rFonts w:eastAsiaTheme="minorEastAsia"/>
          <w:b/>
          <w:i/>
          <w:lang w:eastAsia="ko-KR"/>
        </w:rPr>
      </w:pPr>
      <w:r w:rsidRPr="001427B7">
        <w:rPr>
          <w:rFonts w:eastAsiaTheme="minorEastAsia"/>
          <w:b/>
          <w:i/>
          <w:lang w:eastAsia="ko-KR"/>
        </w:rPr>
        <w:t xml:space="preserve">Proposal 1: In a carrier group, either LTE carriers or NR carriers are aggregated. LTE and NR carriers are not aggregated within a carrier group. </w:t>
      </w:r>
    </w:p>
    <w:p w14:paraId="27CE1F11" w14:textId="77777777" w:rsidR="007C5FD6" w:rsidRDefault="007C5FD6" w:rsidP="007C5FD6">
      <w:pPr>
        <w:ind w:left="0" w:firstLine="0"/>
        <w:rPr>
          <w:rFonts w:eastAsiaTheme="minorEastAsia"/>
          <w:b/>
          <w:i/>
          <w:lang w:eastAsia="ko-KR"/>
        </w:rPr>
      </w:pPr>
      <w:bookmarkStart w:id="3" w:name="_GoBack"/>
      <w:bookmarkEnd w:id="3"/>
      <w:r w:rsidRPr="001427B7">
        <w:rPr>
          <w:rFonts w:eastAsiaTheme="minorEastAsia"/>
          <w:b/>
          <w:i/>
          <w:lang w:eastAsia="ko-KR"/>
        </w:rPr>
        <w:t xml:space="preserve">Proposal </w:t>
      </w:r>
      <w:r>
        <w:rPr>
          <w:rFonts w:eastAsiaTheme="minorEastAsia"/>
          <w:b/>
          <w:i/>
          <w:lang w:eastAsia="ko-KR"/>
        </w:rPr>
        <w:t>2</w:t>
      </w:r>
      <w:r w:rsidRPr="001427B7">
        <w:rPr>
          <w:rFonts w:eastAsiaTheme="minorEastAsia"/>
          <w:b/>
          <w:i/>
          <w:lang w:eastAsia="ko-KR"/>
        </w:rPr>
        <w:t xml:space="preserve">: </w:t>
      </w:r>
      <w:r>
        <w:rPr>
          <w:rFonts w:eastAsiaTheme="minorEastAsia"/>
          <w:b/>
          <w:i/>
          <w:lang w:eastAsia="ko-KR"/>
        </w:rPr>
        <w:t>Baseband capabilities such as maximum number of TB bits in a TTI or MIMO capability is not shared between LTE and NR carrier group</w:t>
      </w:r>
      <w:r w:rsidRPr="001427B7">
        <w:rPr>
          <w:rFonts w:eastAsiaTheme="minorEastAsia"/>
          <w:b/>
          <w:i/>
          <w:lang w:eastAsia="ko-KR"/>
        </w:rPr>
        <w:t xml:space="preserve">. </w:t>
      </w:r>
    </w:p>
    <w:p w14:paraId="297C5266" w14:textId="77777777" w:rsidR="007C5FD6" w:rsidRDefault="007C5FD6" w:rsidP="007C5FD6">
      <w:pPr>
        <w:ind w:left="0" w:firstLine="0"/>
        <w:rPr>
          <w:rFonts w:eastAsiaTheme="minorEastAsia"/>
          <w:b/>
          <w:i/>
          <w:lang w:eastAsia="ko-KR"/>
        </w:rPr>
      </w:pPr>
      <w:r w:rsidRPr="001427B7">
        <w:rPr>
          <w:rFonts w:eastAsiaTheme="minorEastAsia"/>
          <w:b/>
          <w:i/>
          <w:lang w:eastAsia="ko-KR"/>
        </w:rPr>
        <w:t xml:space="preserve">Proposal </w:t>
      </w:r>
      <w:r>
        <w:rPr>
          <w:rFonts w:eastAsiaTheme="minorEastAsia"/>
          <w:b/>
          <w:i/>
          <w:lang w:eastAsia="ko-KR"/>
        </w:rPr>
        <w:t>3</w:t>
      </w:r>
      <w:r w:rsidRPr="001427B7">
        <w:rPr>
          <w:rFonts w:eastAsiaTheme="minorEastAsia"/>
          <w:b/>
          <w:i/>
          <w:lang w:eastAsia="ko-KR"/>
        </w:rPr>
        <w:t xml:space="preserve">: </w:t>
      </w:r>
      <w:r>
        <w:rPr>
          <w:rFonts w:eastAsiaTheme="minorEastAsia"/>
          <w:b/>
          <w:i/>
          <w:lang w:eastAsia="ko-KR"/>
        </w:rPr>
        <w:t>Measurement gap can be configured independently per carrier group</w:t>
      </w:r>
      <w:r w:rsidRPr="001427B7">
        <w:rPr>
          <w:rFonts w:eastAsiaTheme="minorEastAsia"/>
          <w:b/>
          <w:i/>
          <w:lang w:eastAsia="ko-KR"/>
        </w:rPr>
        <w:t>.</w:t>
      </w:r>
      <w:r>
        <w:rPr>
          <w:rFonts w:eastAsiaTheme="minorEastAsia"/>
          <w:b/>
          <w:i/>
          <w:lang w:eastAsia="ko-KR"/>
        </w:rPr>
        <w:t xml:space="preserve"> In case coordination is necessary, the measurement gap can be coordinated among carrier groups by configuration. </w:t>
      </w:r>
    </w:p>
    <w:p w14:paraId="7971F2EB" w14:textId="77777777" w:rsidR="007C5FD6" w:rsidRPr="001D263D" w:rsidRDefault="007C5FD6" w:rsidP="007C5FD6">
      <w:pPr>
        <w:ind w:left="0" w:firstLine="0"/>
        <w:rPr>
          <w:rFonts w:eastAsiaTheme="minorEastAsia"/>
          <w:lang w:eastAsia="ko-KR"/>
        </w:rPr>
      </w:pPr>
      <w:r w:rsidRPr="001427B7">
        <w:rPr>
          <w:rFonts w:eastAsiaTheme="minorEastAsia"/>
          <w:b/>
          <w:i/>
          <w:lang w:eastAsia="ko-KR"/>
        </w:rPr>
        <w:t xml:space="preserve">Proposal </w:t>
      </w:r>
      <w:r>
        <w:rPr>
          <w:rFonts w:eastAsiaTheme="minorEastAsia"/>
          <w:b/>
          <w:i/>
          <w:lang w:eastAsia="ko-KR"/>
        </w:rPr>
        <w:t>4</w:t>
      </w:r>
      <w:r w:rsidRPr="001427B7">
        <w:rPr>
          <w:rFonts w:eastAsiaTheme="minorEastAsia"/>
          <w:b/>
          <w:i/>
          <w:lang w:eastAsia="ko-KR"/>
        </w:rPr>
        <w:t xml:space="preserve">: </w:t>
      </w:r>
      <w:r>
        <w:rPr>
          <w:rFonts w:eastAsiaTheme="minorEastAsia"/>
          <w:b/>
          <w:i/>
          <w:lang w:eastAsia="ko-KR"/>
        </w:rPr>
        <w:t>LTE-MCG can assist a UE for initial cell search on NR SCG carriers.</w:t>
      </w:r>
    </w:p>
    <w:p w14:paraId="5BD79B69" w14:textId="77777777" w:rsidR="007C5FD6" w:rsidRPr="007C5FD6" w:rsidRDefault="007C5FD6" w:rsidP="008D5C57">
      <w:pPr>
        <w:ind w:left="0" w:hanging="1"/>
        <w:rPr>
          <w:rFonts w:eastAsia="맑은 고딕"/>
          <w:sz w:val="22"/>
          <w:lang w:eastAsia="ko-KR"/>
        </w:rPr>
      </w:pPr>
    </w:p>
    <w:p w14:paraId="7BFFC843" w14:textId="77777777" w:rsidR="00C1458F" w:rsidRPr="007036D8" w:rsidRDefault="00C1458F" w:rsidP="00C1458F">
      <w:pPr>
        <w:pStyle w:val="1"/>
        <w:numPr>
          <w:ilvl w:val="0"/>
          <w:numId w:val="1"/>
        </w:numPr>
        <w:spacing w:before="180"/>
        <w:rPr>
          <w:rFonts w:eastAsia="바탕"/>
          <w:b/>
          <w:lang w:eastAsia="ko-KR"/>
        </w:rPr>
      </w:pPr>
      <w:r w:rsidRPr="007036D8">
        <w:rPr>
          <w:rFonts w:eastAsia="바탕" w:hint="eastAsia"/>
          <w:b/>
          <w:lang w:eastAsia="ko-KR"/>
        </w:rPr>
        <w:t>Reference</w:t>
      </w:r>
    </w:p>
    <w:p w14:paraId="3B4FD8D6" w14:textId="77777777" w:rsidR="000C4234" w:rsidRPr="000C4234" w:rsidRDefault="000C4234" w:rsidP="000C4234">
      <w:pPr>
        <w:pStyle w:val="References"/>
        <w:ind w:left="567" w:hanging="567"/>
        <w:rPr>
          <w:szCs w:val="22"/>
          <w:lang w:eastAsia="ko-KR"/>
        </w:rPr>
      </w:pPr>
      <w:r w:rsidRPr="000C4234">
        <w:rPr>
          <w:szCs w:val="22"/>
          <w:lang w:eastAsia="ko-KR"/>
        </w:rPr>
        <w:t>RAN1 chairman’s notes, RAN1#88bis.</w:t>
      </w:r>
    </w:p>
    <w:p w14:paraId="70EE82F5" w14:textId="77B379AD" w:rsidR="00380F89" w:rsidRPr="000B1C89" w:rsidRDefault="00380F89" w:rsidP="000C4234">
      <w:pPr>
        <w:pStyle w:val="References"/>
        <w:numPr>
          <w:ilvl w:val="0"/>
          <w:numId w:val="0"/>
        </w:numPr>
        <w:ind w:left="6031" w:hanging="360"/>
        <w:rPr>
          <w:rFonts w:eastAsia="맑은 고딕"/>
          <w:szCs w:val="22"/>
          <w:lang w:val="en-GB" w:eastAsia="ko-KR"/>
        </w:rPr>
      </w:pPr>
    </w:p>
    <w:sectPr w:rsidR="00380F89" w:rsidRPr="000B1C89"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018E9E" w14:textId="77777777" w:rsidR="00D21D33" w:rsidRDefault="00D21D33" w:rsidP="00CB15B0">
      <w:pPr>
        <w:spacing w:before="0" w:after="0" w:line="240" w:lineRule="auto"/>
      </w:pPr>
      <w:r>
        <w:separator/>
      </w:r>
    </w:p>
  </w:endnote>
  <w:endnote w:type="continuationSeparator" w:id="0">
    <w:p w14:paraId="723D384E" w14:textId="77777777" w:rsidR="00D21D33" w:rsidRDefault="00D21D33"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41414E" w14:textId="77777777" w:rsidR="00D21D33" w:rsidRDefault="00D21D33" w:rsidP="00CB15B0">
      <w:pPr>
        <w:spacing w:before="0" w:after="0" w:line="240" w:lineRule="auto"/>
      </w:pPr>
      <w:r>
        <w:separator/>
      </w:r>
    </w:p>
  </w:footnote>
  <w:footnote w:type="continuationSeparator" w:id="0">
    <w:p w14:paraId="7D83E389" w14:textId="77777777" w:rsidR="00D21D33" w:rsidRDefault="00D21D33"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991883"/>
    <w:multiLevelType w:val="hybridMultilevel"/>
    <w:tmpl w:val="BBAE75B6"/>
    <w:lvl w:ilvl="0" w:tplc="4202C932">
      <w:start w:val="1"/>
      <w:numFmt w:val="bullet"/>
      <w:lvlText w:val=""/>
      <w:lvlJc w:val="left"/>
      <w:pPr>
        <w:ind w:left="510" w:hanging="400"/>
      </w:pPr>
      <w:rPr>
        <w:rFonts w:ascii="Symbol" w:eastAsia="MS Mincho" w:hAnsi="Symbol"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 w15:restartNumberingAfterBreak="0">
    <w:nsid w:val="044C12C9"/>
    <w:multiLevelType w:val="hybridMultilevel"/>
    <w:tmpl w:val="397EE29C"/>
    <w:lvl w:ilvl="0" w:tplc="0409000B">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62457A"/>
    <w:multiLevelType w:val="hybridMultilevel"/>
    <w:tmpl w:val="5CF46586"/>
    <w:lvl w:ilvl="0" w:tplc="0409000B">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1B910C6"/>
    <w:multiLevelType w:val="hybridMultilevel"/>
    <w:tmpl w:val="6772FCCE"/>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2016DDD"/>
    <w:multiLevelType w:val="hybridMultilevel"/>
    <w:tmpl w:val="0E5633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CEF317A"/>
    <w:multiLevelType w:val="hybridMultilevel"/>
    <w:tmpl w:val="851E35A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22402ABA"/>
    <w:multiLevelType w:val="hybridMultilevel"/>
    <w:tmpl w:val="3586CE68"/>
    <w:lvl w:ilvl="0" w:tplc="4202C932">
      <w:start w:val="1"/>
      <w:numFmt w:val="bullet"/>
      <w:lvlText w:val=""/>
      <w:lvlJc w:val="left"/>
      <w:pPr>
        <w:ind w:left="400" w:hanging="400"/>
      </w:pPr>
      <w:rPr>
        <w:rFonts w:ascii="Symbol" w:eastAsia="MS Mincho"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25502346"/>
    <w:multiLevelType w:val="hybridMultilevel"/>
    <w:tmpl w:val="C584D28C"/>
    <w:lvl w:ilvl="0" w:tplc="F272C94C">
      <w:start w:val="1"/>
      <w:numFmt w:val="bullet"/>
      <w:lvlText w:val="•"/>
      <w:lvlJc w:val="left"/>
      <w:pPr>
        <w:tabs>
          <w:tab w:val="num" w:pos="720"/>
        </w:tabs>
        <w:ind w:left="720" w:hanging="360"/>
      </w:pPr>
      <w:rPr>
        <w:rFonts w:ascii="Arial" w:hAnsi="Arial" w:hint="default"/>
      </w:rPr>
    </w:lvl>
    <w:lvl w:ilvl="1" w:tplc="E4FA059E">
      <w:start w:val="578"/>
      <w:numFmt w:val="bullet"/>
      <w:lvlText w:val="•"/>
      <w:lvlJc w:val="left"/>
      <w:pPr>
        <w:tabs>
          <w:tab w:val="num" w:pos="1440"/>
        </w:tabs>
        <w:ind w:left="1440" w:hanging="360"/>
      </w:pPr>
      <w:rPr>
        <w:rFonts w:ascii="Arial" w:hAnsi="Arial" w:hint="default"/>
      </w:rPr>
    </w:lvl>
    <w:lvl w:ilvl="2" w:tplc="F0047BB8">
      <w:start w:val="578"/>
      <w:numFmt w:val="bullet"/>
      <w:lvlText w:val="•"/>
      <w:lvlJc w:val="left"/>
      <w:pPr>
        <w:tabs>
          <w:tab w:val="num" w:pos="2160"/>
        </w:tabs>
        <w:ind w:left="2160" w:hanging="360"/>
      </w:pPr>
      <w:rPr>
        <w:rFonts w:ascii="Arial" w:hAnsi="Arial" w:hint="default"/>
      </w:rPr>
    </w:lvl>
    <w:lvl w:ilvl="3" w:tplc="ACACE3CE" w:tentative="1">
      <w:start w:val="1"/>
      <w:numFmt w:val="bullet"/>
      <w:lvlText w:val="•"/>
      <w:lvlJc w:val="left"/>
      <w:pPr>
        <w:tabs>
          <w:tab w:val="num" w:pos="2880"/>
        </w:tabs>
        <w:ind w:left="2880" w:hanging="360"/>
      </w:pPr>
      <w:rPr>
        <w:rFonts w:ascii="Arial" w:hAnsi="Arial" w:hint="default"/>
      </w:rPr>
    </w:lvl>
    <w:lvl w:ilvl="4" w:tplc="FBD2367A" w:tentative="1">
      <w:start w:val="1"/>
      <w:numFmt w:val="bullet"/>
      <w:lvlText w:val="•"/>
      <w:lvlJc w:val="left"/>
      <w:pPr>
        <w:tabs>
          <w:tab w:val="num" w:pos="3600"/>
        </w:tabs>
        <w:ind w:left="3600" w:hanging="360"/>
      </w:pPr>
      <w:rPr>
        <w:rFonts w:ascii="Arial" w:hAnsi="Arial" w:hint="default"/>
      </w:rPr>
    </w:lvl>
    <w:lvl w:ilvl="5" w:tplc="399699F2" w:tentative="1">
      <w:start w:val="1"/>
      <w:numFmt w:val="bullet"/>
      <w:lvlText w:val="•"/>
      <w:lvlJc w:val="left"/>
      <w:pPr>
        <w:tabs>
          <w:tab w:val="num" w:pos="4320"/>
        </w:tabs>
        <w:ind w:left="4320" w:hanging="360"/>
      </w:pPr>
      <w:rPr>
        <w:rFonts w:ascii="Arial" w:hAnsi="Arial" w:hint="default"/>
      </w:rPr>
    </w:lvl>
    <w:lvl w:ilvl="6" w:tplc="5F26CDE8" w:tentative="1">
      <w:start w:val="1"/>
      <w:numFmt w:val="bullet"/>
      <w:lvlText w:val="•"/>
      <w:lvlJc w:val="left"/>
      <w:pPr>
        <w:tabs>
          <w:tab w:val="num" w:pos="5040"/>
        </w:tabs>
        <w:ind w:left="5040" w:hanging="360"/>
      </w:pPr>
      <w:rPr>
        <w:rFonts w:ascii="Arial" w:hAnsi="Arial" w:hint="default"/>
      </w:rPr>
    </w:lvl>
    <w:lvl w:ilvl="7" w:tplc="DB143E88" w:tentative="1">
      <w:start w:val="1"/>
      <w:numFmt w:val="bullet"/>
      <w:lvlText w:val="•"/>
      <w:lvlJc w:val="left"/>
      <w:pPr>
        <w:tabs>
          <w:tab w:val="num" w:pos="5760"/>
        </w:tabs>
        <w:ind w:left="5760" w:hanging="360"/>
      </w:pPr>
      <w:rPr>
        <w:rFonts w:ascii="Arial" w:hAnsi="Arial" w:hint="default"/>
      </w:rPr>
    </w:lvl>
    <w:lvl w:ilvl="8" w:tplc="689A317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15:restartNumberingAfterBreak="0">
    <w:nsid w:val="28B322B0"/>
    <w:multiLevelType w:val="hybridMultilevel"/>
    <w:tmpl w:val="EB1639D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E4A0972"/>
    <w:multiLevelType w:val="hybridMultilevel"/>
    <w:tmpl w:val="AD8A32A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30666D03"/>
    <w:multiLevelType w:val="hybridMultilevel"/>
    <w:tmpl w:val="96C232D8"/>
    <w:lvl w:ilvl="0" w:tplc="04090001">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4" w15:restartNumberingAfterBreak="0">
    <w:nsid w:val="31665EEC"/>
    <w:multiLevelType w:val="hybridMultilevel"/>
    <w:tmpl w:val="9856B100"/>
    <w:lvl w:ilvl="0" w:tplc="C41AD11C">
      <w:start w:val="1"/>
      <w:numFmt w:val="bullet"/>
      <w:lvlText w:val="•"/>
      <w:lvlJc w:val="left"/>
      <w:pPr>
        <w:tabs>
          <w:tab w:val="num" w:pos="360"/>
        </w:tabs>
        <w:ind w:left="360" w:hanging="360"/>
      </w:pPr>
      <w:rPr>
        <w:rFonts w:ascii="Arial" w:hAnsi="Arial" w:hint="default"/>
      </w:rPr>
    </w:lvl>
    <w:lvl w:ilvl="1" w:tplc="AED0E988">
      <w:numFmt w:val="bullet"/>
      <w:lvlText w:val="•"/>
      <w:lvlJc w:val="left"/>
      <w:pPr>
        <w:tabs>
          <w:tab w:val="num" w:pos="1080"/>
        </w:tabs>
        <w:ind w:left="1080" w:hanging="360"/>
      </w:pPr>
      <w:rPr>
        <w:rFonts w:ascii="Arial" w:hAnsi="Arial" w:hint="default"/>
      </w:rPr>
    </w:lvl>
    <w:lvl w:ilvl="2" w:tplc="BA3AD598">
      <w:start w:val="1"/>
      <w:numFmt w:val="bullet"/>
      <w:lvlText w:val="•"/>
      <w:lvlJc w:val="left"/>
      <w:pPr>
        <w:tabs>
          <w:tab w:val="num" w:pos="1800"/>
        </w:tabs>
        <w:ind w:left="1800" w:hanging="360"/>
      </w:pPr>
      <w:rPr>
        <w:rFonts w:ascii="Arial" w:hAnsi="Arial" w:hint="default"/>
      </w:rPr>
    </w:lvl>
    <w:lvl w:ilvl="3" w:tplc="B0343D6A" w:tentative="1">
      <w:start w:val="1"/>
      <w:numFmt w:val="bullet"/>
      <w:lvlText w:val="•"/>
      <w:lvlJc w:val="left"/>
      <w:pPr>
        <w:tabs>
          <w:tab w:val="num" w:pos="2520"/>
        </w:tabs>
        <w:ind w:left="2520" w:hanging="360"/>
      </w:pPr>
      <w:rPr>
        <w:rFonts w:ascii="Arial" w:hAnsi="Arial" w:hint="default"/>
      </w:rPr>
    </w:lvl>
    <w:lvl w:ilvl="4" w:tplc="96E452A0" w:tentative="1">
      <w:start w:val="1"/>
      <w:numFmt w:val="bullet"/>
      <w:lvlText w:val="•"/>
      <w:lvlJc w:val="left"/>
      <w:pPr>
        <w:tabs>
          <w:tab w:val="num" w:pos="3240"/>
        </w:tabs>
        <w:ind w:left="3240" w:hanging="360"/>
      </w:pPr>
      <w:rPr>
        <w:rFonts w:ascii="Arial" w:hAnsi="Arial" w:hint="default"/>
      </w:rPr>
    </w:lvl>
    <w:lvl w:ilvl="5" w:tplc="54023336" w:tentative="1">
      <w:start w:val="1"/>
      <w:numFmt w:val="bullet"/>
      <w:lvlText w:val="•"/>
      <w:lvlJc w:val="left"/>
      <w:pPr>
        <w:tabs>
          <w:tab w:val="num" w:pos="3960"/>
        </w:tabs>
        <w:ind w:left="3960" w:hanging="360"/>
      </w:pPr>
      <w:rPr>
        <w:rFonts w:ascii="Arial" w:hAnsi="Arial" w:hint="default"/>
      </w:rPr>
    </w:lvl>
    <w:lvl w:ilvl="6" w:tplc="EFA8B2FA" w:tentative="1">
      <w:start w:val="1"/>
      <w:numFmt w:val="bullet"/>
      <w:lvlText w:val="•"/>
      <w:lvlJc w:val="left"/>
      <w:pPr>
        <w:tabs>
          <w:tab w:val="num" w:pos="4680"/>
        </w:tabs>
        <w:ind w:left="4680" w:hanging="360"/>
      </w:pPr>
      <w:rPr>
        <w:rFonts w:ascii="Arial" w:hAnsi="Arial" w:hint="default"/>
      </w:rPr>
    </w:lvl>
    <w:lvl w:ilvl="7" w:tplc="B2CA69DC" w:tentative="1">
      <w:start w:val="1"/>
      <w:numFmt w:val="bullet"/>
      <w:lvlText w:val="•"/>
      <w:lvlJc w:val="left"/>
      <w:pPr>
        <w:tabs>
          <w:tab w:val="num" w:pos="5400"/>
        </w:tabs>
        <w:ind w:left="5400" w:hanging="360"/>
      </w:pPr>
      <w:rPr>
        <w:rFonts w:ascii="Arial" w:hAnsi="Arial" w:hint="default"/>
      </w:rPr>
    </w:lvl>
    <w:lvl w:ilvl="8" w:tplc="BA420C52"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start w:val="1"/>
      <w:numFmt w:val="bullet"/>
      <w:lvlText w:val="•"/>
      <w:lvlJc w:val="left"/>
      <w:pPr>
        <w:tabs>
          <w:tab w:val="num" w:pos="2160"/>
        </w:tabs>
        <w:ind w:left="2160" w:hanging="360"/>
      </w:pPr>
      <w:rPr>
        <w:rFonts w:ascii="Arial" w:hAnsi="Arial" w:hint="default"/>
      </w:rPr>
    </w:lvl>
    <w:lvl w:ilvl="3" w:tplc="03762582">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96D58A4"/>
    <w:multiLevelType w:val="hybridMultilevel"/>
    <w:tmpl w:val="5F407FDA"/>
    <w:lvl w:ilvl="0" w:tplc="0409000F">
      <w:start w:val="1"/>
      <w:numFmt w:val="decimal"/>
      <w:lvlText w:val="%1."/>
      <w:lvlJc w:val="left"/>
      <w:pPr>
        <w:ind w:left="400" w:hanging="400"/>
      </w:pPr>
      <w:rPr>
        <w:rFonts w:hint="default"/>
      </w:rPr>
    </w:lvl>
    <w:lvl w:ilvl="1" w:tplc="AAB69B5C">
      <w:start w:val="1"/>
      <w:numFmt w:val="decimal"/>
      <w:lvlText w:val="(%2)"/>
      <w:lvlJc w:val="left"/>
      <w:pPr>
        <w:ind w:left="800" w:hanging="400"/>
      </w:pPr>
      <w:rPr>
        <w:rFont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70A28332">
      <w:start w:val="12"/>
      <w:numFmt w:val="bullet"/>
      <w:lvlText w:val=""/>
      <w:lvlJc w:val="left"/>
      <w:pPr>
        <w:ind w:left="2760" w:hanging="360"/>
      </w:pPr>
      <w:rPr>
        <w:rFonts w:ascii="Wingdings" w:eastAsiaTheme="minorEastAsia" w:hAnsi="Wingdings" w:cs="Times New Roman"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397F71B8"/>
    <w:multiLevelType w:val="hybridMultilevel"/>
    <w:tmpl w:val="C0DAE01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39C3393E"/>
    <w:multiLevelType w:val="hybridMultilevel"/>
    <w:tmpl w:val="EADED5A8"/>
    <w:lvl w:ilvl="0" w:tplc="0CFA0F72">
      <w:start w:val="2"/>
      <w:numFmt w:val="bullet"/>
      <w:lvlText w:val=""/>
      <w:lvlJc w:val="left"/>
      <w:pPr>
        <w:ind w:left="927" w:hanging="360"/>
      </w:pPr>
      <w:rPr>
        <w:rFonts w:ascii="Wingdings" w:eastAsia="바탕" w:hAnsi="Wingdings" w:cs="바탕"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1" w15:restartNumberingAfterBreak="0">
    <w:nsid w:val="3D2E5E1A"/>
    <w:multiLevelType w:val="hybridMultilevel"/>
    <w:tmpl w:val="BFDE599C"/>
    <w:lvl w:ilvl="0" w:tplc="1D4E917C">
      <w:start w:val="1"/>
      <w:numFmt w:val="bullet"/>
      <w:lvlText w:val=""/>
      <w:lvlJc w:val="left"/>
      <w:pPr>
        <w:ind w:left="400" w:hanging="400"/>
      </w:pPr>
      <w:rPr>
        <w:rFonts w:ascii="Wingdings" w:hAnsi="Wingdings" w:hint="default"/>
        <w:lang w:val="en-GB"/>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3BD6291"/>
    <w:multiLevelType w:val="hybridMultilevel"/>
    <w:tmpl w:val="E4AC5D68"/>
    <w:lvl w:ilvl="0" w:tplc="9C8AEB5C">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15:restartNumberingAfterBreak="0">
    <w:nsid w:val="45836583"/>
    <w:multiLevelType w:val="hybridMultilevel"/>
    <w:tmpl w:val="B49EA214"/>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9BC7ED0"/>
    <w:multiLevelType w:val="hybridMultilevel"/>
    <w:tmpl w:val="D6A65CD2"/>
    <w:lvl w:ilvl="0" w:tplc="77047526">
      <w:start w:val="1"/>
      <w:numFmt w:val="decimal"/>
      <w:lvlText w:val="(%1)"/>
      <w:lvlJc w:val="left"/>
      <w:pPr>
        <w:ind w:left="927" w:hanging="360"/>
      </w:pPr>
      <w:rPr>
        <w:rFonts w:ascii="Times New Roman" w:hAnsi="Times New Roman" w:cs="Times New Roman"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6" w15:restartNumberingAfterBreak="0">
    <w:nsid w:val="4C0E7127"/>
    <w:multiLevelType w:val="hybridMultilevel"/>
    <w:tmpl w:val="436C0FE0"/>
    <w:lvl w:ilvl="0" w:tplc="0409000F">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7" w15:restartNumberingAfterBreak="0">
    <w:nsid w:val="4C644A6B"/>
    <w:multiLevelType w:val="hybridMultilevel"/>
    <w:tmpl w:val="540258D8"/>
    <w:lvl w:ilvl="0" w:tplc="04090001">
      <w:start w:val="1"/>
      <w:numFmt w:val="bullet"/>
      <w:lvlText w:val=""/>
      <w:lvlJc w:val="left"/>
      <w:pPr>
        <w:ind w:left="510" w:hanging="400"/>
      </w:pPr>
      <w:rPr>
        <w:rFonts w:ascii="Wingdings" w:hAnsi="Wingdings"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8" w15:restartNumberingAfterBreak="0">
    <w:nsid w:val="4E525788"/>
    <w:multiLevelType w:val="hybridMultilevel"/>
    <w:tmpl w:val="75C22FE2"/>
    <w:lvl w:ilvl="0" w:tplc="42E48786">
      <w:start w:val="1"/>
      <w:numFmt w:val="bullet"/>
      <w:lvlText w:val="•"/>
      <w:lvlJc w:val="left"/>
      <w:pPr>
        <w:tabs>
          <w:tab w:val="num" w:pos="720"/>
        </w:tabs>
        <w:ind w:left="720" w:hanging="360"/>
      </w:pPr>
      <w:rPr>
        <w:rFonts w:ascii="Arial" w:hAnsi="Arial" w:hint="default"/>
      </w:rPr>
    </w:lvl>
    <w:lvl w:ilvl="1" w:tplc="93B408B0">
      <w:start w:val="1782"/>
      <w:numFmt w:val="bullet"/>
      <w:lvlText w:val="–"/>
      <w:lvlJc w:val="left"/>
      <w:pPr>
        <w:tabs>
          <w:tab w:val="num" w:pos="1440"/>
        </w:tabs>
        <w:ind w:left="1440" w:hanging="360"/>
      </w:pPr>
      <w:rPr>
        <w:rFonts w:ascii="Arial" w:hAnsi="Arial" w:hint="default"/>
      </w:rPr>
    </w:lvl>
    <w:lvl w:ilvl="2" w:tplc="B234231C" w:tentative="1">
      <w:start w:val="1"/>
      <w:numFmt w:val="bullet"/>
      <w:lvlText w:val="•"/>
      <w:lvlJc w:val="left"/>
      <w:pPr>
        <w:tabs>
          <w:tab w:val="num" w:pos="2160"/>
        </w:tabs>
        <w:ind w:left="2160" w:hanging="360"/>
      </w:pPr>
      <w:rPr>
        <w:rFonts w:ascii="Arial" w:hAnsi="Arial" w:hint="default"/>
      </w:rPr>
    </w:lvl>
    <w:lvl w:ilvl="3" w:tplc="70F87788" w:tentative="1">
      <w:start w:val="1"/>
      <w:numFmt w:val="bullet"/>
      <w:lvlText w:val="•"/>
      <w:lvlJc w:val="left"/>
      <w:pPr>
        <w:tabs>
          <w:tab w:val="num" w:pos="2880"/>
        </w:tabs>
        <w:ind w:left="2880" w:hanging="360"/>
      </w:pPr>
      <w:rPr>
        <w:rFonts w:ascii="Arial" w:hAnsi="Arial" w:hint="default"/>
      </w:rPr>
    </w:lvl>
    <w:lvl w:ilvl="4" w:tplc="19DECAA0" w:tentative="1">
      <w:start w:val="1"/>
      <w:numFmt w:val="bullet"/>
      <w:lvlText w:val="•"/>
      <w:lvlJc w:val="left"/>
      <w:pPr>
        <w:tabs>
          <w:tab w:val="num" w:pos="3600"/>
        </w:tabs>
        <w:ind w:left="3600" w:hanging="360"/>
      </w:pPr>
      <w:rPr>
        <w:rFonts w:ascii="Arial" w:hAnsi="Arial" w:hint="default"/>
      </w:rPr>
    </w:lvl>
    <w:lvl w:ilvl="5" w:tplc="EC24DC9E" w:tentative="1">
      <w:start w:val="1"/>
      <w:numFmt w:val="bullet"/>
      <w:lvlText w:val="•"/>
      <w:lvlJc w:val="left"/>
      <w:pPr>
        <w:tabs>
          <w:tab w:val="num" w:pos="4320"/>
        </w:tabs>
        <w:ind w:left="4320" w:hanging="360"/>
      </w:pPr>
      <w:rPr>
        <w:rFonts w:ascii="Arial" w:hAnsi="Arial" w:hint="default"/>
      </w:rPr>
    </w:lvl>
    <w:lvl w:ilvl="6" w:tplc="1CAC6BDE" w:tentative="1">
      <w:start w:val="1"/>
      <w:numFmt w:val="bullet"/>
      <w:lvlText w:val="•"/>
      <w:lvlJc w:val="left"/>
      <w:pPr>
        <w:tabs>
          <w:tab w:val="num" w:pos="5040"/>
        </w:tabs>
        <w:ind w:left="5040" w:hanging="360"/>
      </w:pPr>
      <w:rPr>
        <w:rFonts w:ascii="Arial" w:hAnsi="Arial" w:hint="default"/>
      </w:rPr>
    </w:lvl>
    <w:lvl w:ilvl="7" w:tplc="B72CA82C" w:tentative="1">
      <w:start w:val="1"/>
      <w:numFmt w:val="bullet"/>
      <w:lvlText w:val="•"/>
      <w:lvlJc w:val="left"/>
      <w:pPr>
        <w:tabs>
          <w:tab w:val="num" w:pos="5760"/>
        </w:tabs>
        <w:ind w:left="5760" w:hanging="360"/>
      </w:pPr>
      <w:rPr>
        <w:rFonts w:ascii="Arial" w:hAnsi="Arial" w:hint="default"/>
      </w:rPr>
    </w:lvl>
    <w:lvl w:ilvl="8" w:tplc="546C0A7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2D90E62"/>
    <w:multiLevelType w:val="hybridMultilevel"/>
    <w:tmpl w:val="C70471B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41F62C9"/>
    <w:multiLevelType w:val="hybridMultilevel"/>
    <w:tmpl w:val="FD568EDE"/>
    <w:lvl w:ilvl="0" w:tplc="1B6A02F6">
      <w:start w:val="159"/>
      <w:numFmt w:val="bullet"/>
      <w:lvlText w:val="-"/>
      <w:lvlJc w:val="left"/>
      <w:pPr>
        <w:ind w:left="1200" w:hanging="40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1" w15:restartNumberingAfterBreak="0">
    <w:nsid w:val="548B23C6"/>
    <w:multiLevelType w:val="hybridMultilevel"/>
    <w:tmpl w:val="420AE17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C5F6A6F"/>
    <w:multiLevelType w:val="hybridMultilevel"/>
    <w:tmpl w:val="FBBAA82A"/>
    <w:lvl w:ilvl="0" w:tplc="06380BDA">
      <w:start w:val="1"/>
      <w:numFmt w:val="bullet"/>
      <w:lvlText w:val="•"/>
      <w:lvlJc w:val="left"/>
      <w:pPr>
        <w:tabs>
          <w:tab w:val="num" w:pos="720"/>
        </w:tabs>
        <w:ind w:left="720" w:hanging="360"/>
      </w:pPr>
      <w:rPr>
        <w:rFonts w:ascii="Arial" w:hAnsi="Arial" w:hint="default"/>
      </w:rPr>
    </w:lvl>
    <w:lvl w:ilvl="1" w:tplc="2C32CE66">
      <w:start w:val="2975"/>
      <w:numFmt w:val="bullet"/>
      <w:lvlText w:val="•"/>
      <w:lvlJc w:val="left"/>
      <w:pPr>
        <w:tabs>
          <w:tab w:val="num" w:pos="1440"/>
        </w:tabs>
        <w:ind w:left="1440" w:hanging="360"/>
      </w:pPr>
      <w:rPr>
        <w:rFonts w:ascii="Arial" w:hAnsi="Arial" w:hint="default"/>
      </w:rPr>
    </w:lvl>
    <w:lvl w:ilvl="2" w:tplc="C6B6DA94">
      <w:start w:val="2975"/>
      <w:numFmt w:val="bullet"/>
      <w:lvlText w:val="•"/>
      <w:lvlJc w:val="left"/>
      <w:pPr>
        <w:tabs>
          <w:tab w:val="num" w:pos="2160"/>
        </w:tabs>
        <w:ind w:left="2160" w:hanging="360"/>
      </w:pPr>
      <w:rPr>
        <w:rFonts w:ascii="Arial" w:hAnsi="Arial" w:hint="default"/>
      </w:rPr>
    </w:lvl>
    <w:lvl w:ilvl="3" w:tplc="0F9C554C">
      <w:start w:val="2975"/>
      <w:numFmt w:val="bullet"/>
      <w:lvlText w:val="•"/>
      <w:lvlJc w:val="left"/>
      <w:pPr>
        <w:tabs>
          <w:tab w:val="num" w:pos="2880"/>
        </w:tabs>
        <w:ind w:left="2880" w:hanging="360"/>
      </w:pPr>
      <w:rPr>
        <w:rFonts w:ascii="Arial" w:hAnsi="Arial" w:hint="default"/>
      </w:rPr>
    </w:lvl>
    <w:lvl w:ilvl="4" w:tplc="D9006E72">
      <w:start w:val="2975"/>
      <w:numFmt w:val="bullet"/>
      <w:lvlText w:val="•"/>
      <w:lvlJc w:val="left"/>
      <w:pPr>
        <w:tabs>
          <w:tab w:val="num" w:pos="3600"/>
        </w:tabs>
        <w:ind w:left="3600" w:hanging="360"/>
      </w:pPr>
      <w:rPr>
        <w:rFonts w:ascii="Arial" w:hAnsi="Arial" w:hint="default"/>
      </w:rPr>
    </w:lvl>
    <w:lvl w:ilvl="5" w:tplc="8B9677BC" w:tentative="1">
      <w:start w:val="1"/>
      <w:numFmt w:val="bullet"/>
      <w:lvlText w:val="•"/>
      <w:lvlJc w:val="left"/>
      <w:pPr>
        <w:tabs>
          <w:tab w:val="num" w:pos="4320"/>
        </w:tabs>
        <w:ind w:left="4320" w:hanging="360"/>
      </w:pPr>
      <w:rPr>
        <w:rFonts w:ascii="Arial" w:hAnsi="Arial" w:hint="default"/>
      </w:rPr>
    </w:lvl>
    <w:lvl w:ilvl="6" w:tplc="F01E6E08" w:tentative="1">
      <w:start w:val="1"/>
      <w:numFmt w:val="bullet"/>
      <w:lvlText w:val="•"/>
      <w:lvlJc w:val="left"/>
      <w:pPr>
        <w:tabs>
          <w:tab w:val="num" w:pos="5040"/>
        </w:tabs>
        <w:ind w:left="5040" w:hanging="360"/>
      </w:pPr>
      <w:rPr>
        <w:rFonts w:ascii="Arial" w:hAnsi="Arial" w:hint="default"/>
      </w:rPr>
    </w:lvl>
    <w:lvl w:ilvl="7" w:tplc="94144CB0" w:tentative="1">
      <w:start w:val="1"/>
      <w:numFmt w:val="bullet"/>
      <w:lvlText w:val="•"/>
      <w:lvlJc w:val="left"/>
      <w:pPr>
        <w:tabs>
          <w:tab w:val="num" w:pos="5760"/>
        </w:tabs>
        <w:ind w:left="5760" w:hanging="360"/>
      </w:pPr>
      <w:rPr>
        <w:rFonts w:ascii="Arial" w:hAnsi="Arial" w:hint="default"/>
      </w:rPr>
    </w:lvl>
    <w:lvl w:ilvl="8" w:tplc="6F9645D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1327ABD"/>
    <w:multiLevelType w:val="hybridMultilevel"/>
    <w:tmpl w:val="4D10E6BC"/>
    <w:lvl w:ilvl="0" w:tplc="0F488B9C">
      <w:start w:val="1"/>
      <w:numFmt w:val="decimal"/>
      <w:lvlText w:val="(%1)"/>
      <w:lvlJc w:val="left"/>
      <w:pPr>
        <w:ind w:left="644" w:hanging="360"/>
      </w:pPr>
      <w:rPr>
        <w:rFonts w:hint="eastAsia"/>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15:restartNumberingAfterBreak="0">
    <w:nsid w:val="694D0CC9"/>
    <w:multiLevelType w:val="hybridMultilevel"/>
    <w:tmpl w:val="66B48EC4"/>
    <w:lvl w:ilvl="0" w:tplc="7F960858">
      <w:start w:val="1"/>
      <w:numFmt w:val="bullet"/>
      <w:lvlText w:val="•"/>
      <w:lvlJc w:val="left"/>
      <w:pPr>
        <w:tabs>
          <w:tab w:val="num" w:pos="720"/>
        </w:tabs>
        <w:ind w:left="720" w:hanging="360"/>
      </w:pPr>
      <w:rPr>
        <w:rFonts w:ascii="Arial" w:hAnsi="Arial" w:hint="default"/>
      </w:rPr>
    </w:lvl>
    <w:lvl w:ilvl="1" w:tplc="757A506E">
      <w:start w:val="1388"/>
      <w:numFmt w:val="bullet"/>
      <w:lvlText w:val="–"/>
      <w:lvlJc w:val="left"/>
      <w:pPr>
        <w:tabs>
          <w:tab w:val="num" w:pos="1440"/>
        </w:tabs>
        <w:ind w:left="1440" w:hanging="360"/>
      </w:pPr>
      <w:rPr>
        <w:rFonts w:ascii="Arial" w:hAnsi="Arial" w:hint="default"/>
      </w:rPr>
    </w:lvl>
    <w:lvl w:ilvl="2" w:tplc="FB383B1C">
      <w:start w:val="1388"/>
      <w:numFmt w:val="bullet"/>
      <w:lvlText w:val="•"/>
      <w:lvlJc w:val="left"/>
      <w:pPr>
        <w:tabs>
          <w:tab w:val="num" w:pos="2160"/>
        </w:tabs>
        <w:ind w:left="2160" w:hanging="360"/>
      </w:pPr>
      <w:rPr>
        <w:rFonts w:ascii="Arial" w:hAnsi="Arial" w:hint="default"/>
      </w:rPr>
    </w:lvl>
    <w:lvl w:ilvl="3" w:tplc="EE387752">
      <w:start w:val="1"/>
      <w:numFmt w:val="bullet"/>
      <w:lvlText w:val="•"/>
      <w:lvlJc w:val="left"/>
      <w:pPr>
        <w:tabs>
          <w:tab w:val="num" w:pos="2880"/>
        </w:tabs>
        <w:ind w:left="2880" w:hanging="360"/>
      </w:pPr>
      <w:rPr>
        <w:rFonts w:ascii="Arial" w:hAnsi="Arial" w:hint="default"/>
      </w:rPr>
    </w:lvl>
    <w:lvl w:ilvl="4" w:tplc="1EA6164A" w:tentative="1">
      <w:start w:val="1"/>
      <w:numFmt w:val="bullet"/>
      <w:lvlText w:val="•"/>
      <w:lvlJc w:val="left"/>
      <w:pPr>
        <w:tabs>
          <w:tab w:val="num" w:pos="3600"/>
        </w:tabs>
        <w:ind w:left="3600" w:hanging="360"/>
      </w:pPr>
      <w:rPr>
        <w:rFonts w:ascii="Arial" w:hAnsi="Arial" w:hint="default"/>
      </w:rPr>
    </w:lvl>
    <w:lvl w:ilvl="5" w:tplc="8814CE8A" w:tentative="1">
      <w:start w:val="1"/>
      <w:numFmt w:val="bullet"/>
      <w:lvlText w:val="•"/>
      <w:lvlJc w:val="left"/>
      <w:pPr>
        <w:tabs>
          <w:tab w:val="num" w:pos="4320"/>
        </w:tabs>
        <w:ind w:left="4320" w:hanging="360"/>
      </w:pPr>
      <w:rPr>
        <w:rFonts w:ascii="Arial" w:hAnsi="Arial" w:hint="default"/>
      </w:rPr>
    </w:lvl>
    <w:lvl w:ilvl="6" w:tplc="04E66636" w:tentative="1">
      <w:start w:val="1"/>
      <w:numFmt w:val="bullet"/>
      <w:lvlText w:val="•"/>
      <w:lvlJc w:val="left"/>
      <w:pPr>
        <w:tabs>
          <w:tab w:val="num" w:pos="5040"/>
        </w:tabs>
        <w:ind w:left="5040" w:hanging="360"/>
      </w:pPr>
      <w:rPr>
        <w:rFonts w:ascii="Arial" w:hAnsi="Arial" w:hint="default"/>
      </w:rPr>
    </w:lvl>
    <w:lvl w:ilvl="7" w:tplc="BA56F816" w:tentative="1">
      <w:start w:val="1"/>
      <w:numFmt w:val="bullet"/>
      <w:lvlText w:val="•"/>
      <w:lvlJc w:val="left"/>
      <w:pPr>
        <w:tabs>
          <w:tab w:val="num" w:pos="5760"/>
        </w:tabs>
        <w:ind w:left="5760" w:hanging="360"/>
      </w:pPr>
      <w:rPr>
        <w:rFonts w:ascii="Arial" w:hAnsi="Arial" w:hint="default"/>
      </w:rPr>
    </w:lvl>
    <w:lvl w:ilvl="8" w:tplc="1C48646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5230A93"/>
    <w:multiLevelType w:val="hybridMultilevel"/>
    <w:tmpl w:val="9ADE9CDA"/>
    <w:lvl w:ilvl="0" w:tplc="B352E5D4">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6126405"/>
    <w:multiLevelType w:val="hybridMultilevel"/>
    <w:tmpl w:val="C062EB2E"/>
    <w:lvl w:ilvl="0" w:tplc="95A8C51E">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38"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8825439"/>
    <w:multiLevelType w:val="hybridMultilevel"/>
    <w:tmpl w:val="483A2AF6"/>
    <w:lvl w:ilvl="0" w:tplc="70422030">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0" w15:restartNumberingAfterBreak="0">
    <w:nsid w:val="7A4735EE"/>
    <w:multiLevelType w:val="hybridMultilevel"/>
    <w:tmpl w:val="8E98CD04"/>
    <w:lvl w:ilvl="0" w:tplc="8B687D46">
      <w:start w:val="1"/>
      <w:numFmt w:val="decimal"/>
      <w:lvlText w:val="(%1)"/>
      <w:lvlJc w:val="left"/>
      <w:pPr>
        <w:ind w:left="760" w:hanging="360"/>
      </w:pPr>
      <w:rPr>
        <w:rFonts w:hint="default"/>
        <w:sz w:val="22"/>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35"/>
  </w:num>
  <w:num w:numId="2">
    <w:abstractNumId w:val="35"/>
  </w:num>
  <w:num w:numId="3">
    <w:abstractNumId w:val="0"/>
  </w:num>
  <w:num w:numId="4">
    <w:abstractNumId w:val="20"/>
  </w:num>
  <w:num w:numId="5">
    <w:abstractNumId w:val="9"/>
  </w:num>
  <w:num w:numId="6">
    <w:abstractNumId w:val="7"/>
  </w:num>
  <w:num w:numId="7">
    <w:abstractNumId w:val="36"/>
  </w:num>
  <w:num w:numId="8">
    <w:abstractNumId w:val="26"/>
  </w:num>
  <w:num w:numId="9">
    <w:abstractNumId w:val="17"/>
  </w:num>
  <w:num w:numId="10">
    <w:abstractNumId w:val="23"/>
  </w:num>
  <w:num w:numId="11">
    <w:abstractNumId w:val="41"/>
  </w:num>
  <w:num w:numId="12">
    <w:abstractNumId w:val="24"/>
  </w:num>
  <w:num w:numId="13">
    <w:abstractNumId w:val="15"/>
  </w:num>
  <w:num w:numId="14">
    <w:abstractNumId w:val="16"/>
  </w:num>
  <w:num w:numId="15">
    <w:abstractNumId w:val="37"/>
  </w:num>
  <w:num w:numId="16">
    <w:abstractNumId w:val="11"/>
  </w:num>
  <w:num w:numId="17">
    <w:abstractNumId w:val="6"/>
  </w:num>
  <w:num w:numId="18">
    <w:abstractNumId w:val="13"/>
  </w:num>
  <w:num w:numId="19">
    <w:abstractNumId w:val="21"/>
  </w:num>
  <w:num w:numId="20">
    <w:abstractNumId w:val="39"/>
  </w:num>
  <w:num w:numId="21">
    <w:abstractNumId w:val="27"/>
  </w:num>
  <w:num w:numId="22">
    <w:abstractNumId w:val="1"/>
  </w:num>
  <w:num w:numId="23">
    <w:abstractNumId w:val="30"/>
  </w:num>
  <w:num w:numId="24">
    <w:abstractNumId w:val="18"/>
  </w:num>
  <w:num w:numId="25">
    <w:abstractNumId w:val="19"/>
  </w:num>
  <w:num w:numId="26">
    <w:abstractNumId w:val="22"/>
  </w:num>
  <w:num w:numId="27">
    <w:abstractNumId w:val="5"/>
  </w:num>
  <w:num w:numId="28">
    <w:abstractNumId w:val="12"/>
  </w:num>
  <w:num w:numId="29">
    <w:abstractNumId w:val="31"/>
  </w:num>
  <w:num w:numId="30">
    <w:abstractNumId w:val="25"/>
  </w:num>
  <w:num w:numId="31">
    <w:abstractNumId w:val="32"/>
  </w:num>
  <w:num w:numId="32">
    <w:abstractNumId w:val="10"/>
  </w:num>
  <w:num w:numId="33">
    <w:abstractNumId w:val="38"/>
  </w:num>
  <w:num w:numId="34">
    <w:abstractNumId w:val="33"/>
  </w:num>
  <w:num w:numId="35">
    <w:abstractNumId w:val="29"/>
  </w:num>
  <w:num w:numId="36">
    <w:abstractNumId w:val="2"/>
  </w:num>
  <w:num w:numId="37">
    <w:abstractNumId w:val="3"/>
  </w:num>
  <w:num w:numId="38">
    <w:abstractNumId w:val="28"/>
  </w:num>
  <w:num w:numId="39">
    <w:abstractNumId w:val="40"/>
  </w:num>
  <w:num w:numId="40">
    <w:abstractNumId w:val="34"/>
  </w:num>
  <w:num w:numId="41">
    <w:abstractNumId w:val="8"/>
  </w:num>
  <w:num w:numId="42">
    <w:abstractNumId w:val="14"/>
  </w:num>
  <w:num w:numId="43">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7"/>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E3E"/>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969"/>
    <w:rsid w:val="00025ADD"/>
    <w:rsid w:val="00025C7D"/>
    <w:rsid w:val="000262DF"/>
    <w:rsid w:val="000267E8"/>
    <w:rsid w:val="00026B5A"/>
    <w:rsid w:val="00027156"/>
    <w:rsid w:val="000278C9"/>
    <w:rsid w:val="00027AEA"/>
    <w:rsid w:val="00027C0E"/>
    <w:rsid w:val="0003045C"/>
    <w:rsid w:val="00031028"/>
    <w:rsid w:val="00031391"/>
    <w:rsid w:val="00031838"/>
    <w:rsid w:val="00031B83"/>
    <w:rsid w:val="000323A5"/>
    <w:rsid w:val="0003275F"/>
    <w:rsid w:val="00032DB0"/>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821"/>
    <w:rsid w:val="00047876"/>
    <w:rsid w:val="00047E83"/>
    <w:rsid w:val="00050098"/>
    <w:rsid w:val="00050555"/>
    <w:rsid w:val="00050CC8"/>
    <w:rsid w:val="00050D1E"/>
    <w:rsid w:val="0005127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510"/>
    <w:rsid w:val="00060B4F"/>
    <w:rsid w:val="00060F15"/>
    <w:rsid w:val="000610AD"/>
    <w:rsid w:val="000612AE"/>
    <w:rsid w:val="00061401"/>
    <w:rsid w:val="00062961"/>
    <w:rsid w:val="00062B06"/>
    <w:rsid w:val="00062FEA"/>
    <w:rsid w:val="0006322F"/>
    <w:rsid w:val="00063526"/>
    <w:rsid w:val="00063AF4"/>
    <w:rsid w:val="00064A89"/>
    <w:rsid w:val="00064B4D"/>
    <w:rsid w:val="00065181"/>
    <w:rsid w:val="00065512"/>
    <w:rsid w:val="000655DF"/>
    <w:rsid w:val="00065917"/>
    <w:rsid w:val="000659C8"/>
    <w:rsid w:val="00065B5A"/>
    <w:rsid w:val="00065FCA"/>
    <w:rsid w:val="0006663E"/>
    <w:rsid w:val="0006714C"/>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C36"/>
    <w:rsid w:val="00082161"/>
    <w:rsid w:val="00082CE0"/>
    <w:rsid w:val="00083EB4"/>
    <w:rsid w:val="00083F32"/>
    <w:rsid w:val="00083F3B"/>
    <w:rsid w:val="00084DDD"/>
    <w:rsid w:val="00085013"/>
    <w:rsid w:val="00085458"/>
    <w:rsid w:val="00085649"/>
    <w:rsid w:val="00085898"/>
    <w:rsid w:val="00085DC3"/>
    <w:rsid w:val="000860D8"/>
    <w:rsid w:val="000871B0"/>
    <w:rsid w:val="00087A89"/>
    <w:rsid w:val="00090358"/>
    <w:rsid w:val="00090426"/>
    <w:rsid w:val="00090765"/>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7A46"/>
    <w:rsid w:val="000A0AD7"/>
    <w:rsid w:val="000A0EEB"/>
    <w:rsid w:val="000A2601"/>
    <w:rsid w:val="000A335C"/>
    <w:rsid w:val="000A39C9"/>
    <w:rsid w:val="000A3CB8"/>
    <w:rsid w:val="000A4550"/>
    <w:rsid w:val="000A49FE"/>
    <w:rsid w:val="000A6022"/>
    <w:rsid w:val="000A664A"/>
    <w:rsid w:val="000A682E"/>
    <w:rsid w:val="000A6D33"/>
    <w:rsid w:val="000A761B"/>
    <w:rsid w:val="000B0147"/>
    <w:rsid w:val="000B0804"/>
    <w:rsid w:val="000B0D6A"/>
    <w:rsid w:val="000B0E82"/>
    <w:rsid w:val="000B1172"/>
    <w:rsid w:val="000B1382"/>
    <w:rsid w:val="000B13D9"/>
    <w:rsid w:val="000B14F8"/>
    <w:rsid w:val="000B1C89"/>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F74"/>
    <w:rsid w:val="000B7836"/>
    <w:rsid w:val="000B78ED"/>
    <w:rsid w:val="000B7E4F"/>
    <w:rsid w:val="000B7E66"/>
    <w:rsid w:val="000B7F08"/>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23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DC6"/>
    <w:rsid w:val="000D2E12"/>
    <w:rsid w:val="000D41C2"/>
    <w:rsid w:val="000D41C4"/>
    <w:rsid w:val="000D4C21"/>
    <w:rsid w:val="000D622F"/>
    <w:rsid w:val="000D6C08"/>
    <w:rsid w:val="000D6CF1"/>
    <w:rsid w:val="000D7436"/>
    <w:rsid w:val="000D7D43"/>
    <w:rsid w:val="000D7DD9"/>
    <w:rsid w:val="000D7F5F"/>
    <w:rsid w:val="000E052D"/>
    <w:rsid w:val="000E0C80"/>
    <w:rsid w:val="000E173E"/>
    <w:rsid w:val="000E249B"/>
    <w:rsid w:val="000E24FC"/>
    <w:rsid w:val="000E2735"/>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AB8"/>
    <w:rsid w:val="001053E1"/>
    <w:rsid w:val="001056FF"/>
    <w:rsid w:val="00105E3E"/>
    <w:rsid w:val="00105E44"/>
    <w:rsid w:val="00105F63"/>
    <w:rsid w:val="001062FE"/>
    <w:rsid w:val="00107160"/>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9A7"/>
    <w:rsid w:val="00122CD3"/>
    <w:rsid w:val="00122CFB"/>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55"/>
    <w:rsid w:val="00130D52"/>
    <w:rsid w:val="00130E34"/>
    <w:rsid w:val="00130F73"/>
    <w:rsid w:val="00131623"/>
    <w:rsid w:val="001319BC"/>
    <w:rsid w:val="00132CD3"/>
    <w:rsid w:val="00133BFE"/>
    <w:rsid w:val="00133D6C"/>
    <w:rsid w:val="00134048"/>
    <w:rsid w:val="001342D9"/>
    <w:rsid w:val="00134B72"/>
    <w:rsid w:val="00135327"/>
    <w:rsid w:val="00136712"/>
    <w:rsid w:val="001367E6"/>
    <w:rsid w:val="001368D4"/>
    <w:rsid w:val="001373D0"/>
    <w:rsid w:val="00137622"/>
    <w:rsid w:val="00137995"/>
    <w:rsid w:val="00137A93"/>
    <w:rsid w:val="00137BE4"/>
    <w:rsid w:val="0014016C"/>
    <w:rsid w:val="00140666"/>
    <w:rsid w:val="00140AAB"/>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122"/>
    <w:rsid w:val="0017454F"/>
    <w:rsid w:val="00174577"/>
    <w:rsid w:val="00174BBF"/>
    <w:rsid w:val="00174CC1"/>
    <w:rsid w:val="00175851"/>
    <w:rsid w:val="00176173"/>
    <w:rsid w:val="0017635A"/>
    <w:rsid w:val="00176690"/>
    <w:rsid w:val="00180186"/>
    <w:rsid w:val="00180816"/>
    <w:rsid w:val="00180E06"/>
    <w:rsid w:val="00181A6D"/>
    <w:rsid w:val="00181D3C"/>
    <w:rsid w:val="00182069"/>
    <w:rsid w:val="0018236C"/>
    <w:rsid w:val="00182AA0"/>
    <w:rsid w:val="00183C92"/>
    <w:rsid w:val="00183EA0"/>
    <w:rsid w:val="001840DB"/>
    <w:rsid w:val="00184A09"/>
    <w:rsid w:val="001852B9"/>
    <w:rsid w:val="0018614F"/>
    <w:rsid w:val="00186216"/>
    <w:rsid w:val="00186A3C"/>
    <w:rsid w:val="001875A5"/>
    <w:rsid w:val="00190AF5"/>
    <w:rsid w:val="001913B0"/>
    <w:rsid w:val="0019140C"/>
    <w:rsid w:val="00191B8F"/>
    <w:rsid w:val="00192022"/>
    <w:rsid w:val="00192BBC"/>
    <w:rsid w:val="00192C5D"/>
    <w:rsid w:val="001934A6"/>
    <w:rsid w:val="001938B2"/>
    <w:rsid w:val="00193AFE"/>
    <w:rsid w:val="00193E15"/>
    <w:rsid w:val="00194092"/>
    <w:rsid w:val="00195147"/>
    <w:rsid w:val="001953E5"/>
    <w:rsid w:val="00195514"/>
    <w:rsid w:val="00196738"/>
    <w:rsid w:val="001968BD"/>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7E3"/>
    <w:rsid w:val="001A7A6F"/>
    <w:rsid w:val="001A7E83"/>
    <w:rsid w:val="001B0075"/>
    <w:rsid w:val="001B096C"/>
    <w:rsid w:val="001B0E41"/>
    <w:rsid w:val="001B0E49"/>
    <w:rsid w:val="001B1641"/>
    <w:rsid w:val="001B1B59"/>
    <w:rsid w:val="001B2C76"/>
    <w:rsid w:val="001B2DFA"/>
    <w:rsid w:val="001B3038"/>
    <w:rsid w:val="001B3422"/>
    <w:rsid w:val="001B348B"/>
    <w:rsid w:val="001B3685"/>
    <w:rsid w:val="001B3CEF"/>
    <w:rsid w:val="001B45EE"/>
    <w:rsid w:val="001B4DBB"/>
    <w:rsid w:val="001B5403"/>
    <w:rsid w:val="001B56C3"/>
    <w:rsid w:val="001B584D"/>
    <w:rsid w:val="001B5863"/>
    <w:rsid w:val="001B66E0"/>
    <w:rsid w:val="001B68A0"/>
    <w:rsid w:val="001B69C8"/>
    <w:rsid w:val="001B6C63"/>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D64"/>
    <w:rsid w:val="001F3E60"/>
    <w:rsid w:val="001F47D1"/>
    <w:rsid w:val="001F4F3C"/>
    <w:rsid w:val="001F7267"/>
    <w:rsid w:val="001F76E8"/>
    <w:rsid w:val="001F7CE9"/>
    <w:rsid w:val="001F7E24"/>
    <w:rsid w:val="001F7F8A"/>
    <w:rsid w:val="00200B34"/>
    <w:rsid w:val="00200CC6"/>
    <w:rsid w:val="00200D43"/>
    <w:rsid w:val="00201C18"/>
    <w:rsid w:val="00201DCF"/>
    <w:rsid w:val="00202542"/>
    <w:rsid w:val="00202689"/>
    <w:rsid w:val="00202CE8"/>
    <w:rsid w:val="00202E8E"/>
    <w:rsid w:val="00203156"/>
    <w:rsid w:val="0020358E"/>
    <w:rsid w:val="00203EFC"/>
    <w:rsid w:val="002049DF"/>
    <w:rsid w:val="00204A4E"/>
    <w:rsid w:val="00204EE7"/>
    <w:rsid w:val="002051F4"/>
    <w:rsid w:val="002055DF"/>
    <w:rsid w:val="002056F2"/>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4DC0"/>
    <w:rsid w:val="0021511E"/>
    <w:rsid w:val="00215471"/>
    <w:rsid w:val="00215BD0"/>
    <w:rsid w:val="00215DE5"/>
    <w:rsid w:val="0021600A"/>
    <w:rsid w:val="00216F54"/>
    <w:rsid w:val="00217441"/>
    <w:rsid w:val="002177EA"/>
    <w:rsid w:val="002200D6"/>
    <w:rsid w:val="00221698"/>
    <w:rsid w:val="00221D49"/>
    <w:rsid w:val="00222D74"/>
    <w:rsid w:val="0022306B"/>
    <w:rsid w:val="00223154"/>
    <w:rsid w:val="002235B7"/>
    <w:rsid w:val="002236E6"/>
    <w:rsid w:val="002239E4"/>
    <w:rsid w:val="00223FBF"/>
    <w:rsid w:val="00224627"/>
    <w:rsid w:val="00224E42"/>
    <w:rsid w:val="00224F73"/>
    <w:rsid w:val="002256D4"/>
    <w:rsid w:val="00225EDB"/>
    <w:rsid w:val="002264A4"/>
    <w:rsid w:val="00226FFF"/>
    <w:rsid w:val="00227112"/>
    <w:rsid w:val="00227D0A"/>
    <w:rsid w:val="00227ECD"/>
    <w:rsid w:val="00230026"/>
    <w:rsid w:val="002305DC"/>
    <w:rsid w:val="00230754"/>
    <w:rsid w:val="002316F4"/>
    <w:rsid w:val="00232F90"/>
    <w:rsid w:val="002330F7"/>
    <w:rsid w:val="0023440B"/>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10B3"/>
    <w:rsid w:val="00242273"/>
    <w:rsid w:val="0024402E"/>
    <w:rsid w:val="0024435D"/>
    <w:rsid w:val="002443B6"/>
    <w:rsid w:val="00245647"/>
    <w:rsid w:val="002458CF"/>
    <w:rsid w:val="00245B68"/>
    <w:rsid w:val="00246B0A"/>
    <w:rsid w:val="00246C79"/>
    <w:rsid w:val="00247738"/>
    <w:rsid w:val="0024794E"/>
    <w:rsid w:val="00247DBC"/>
    <w:rsid w:val="00247FD4"/>
    <w:rsid w:val="0025070A"/>
    <w:rsid w:val="00250A09"/>
    <w:rsid w:val="00250B74"/>
    <w:rsid w:val="00250B97"/>
    <w:rsid w:val="00250E9D"/>
    <w:rsid w:val="00252041"/>
    <w:rsid w:val="002520CB"/>
    <w:rsid w:val="002523D5"/>
    <w:rsid w:val="00252E43"/>
    <w:rsid w:val="002533C1"/>
    <w:rsid w:val="0025349A"/>
    <w:rsid w:val="00253BB2"/>
    <w:rsid w:val="00254501"/>
    <w:rsid w:val="0025459C"/>
    <w:rsid w:val="00256280"/>
    <w:rsid w:val="002562C4"/>
    <w:rsid w:val="00256E32"/>
    <w:rsid w:val="00257486"/>
    <w:rsid w:val="00257AE5"/>
    <w:rsid w:val="00257EDB"/>
    <w:rsid w:val="00257FF1"/>
    <w:rsid w:val="00260561"/>
    <w:rsid w:val="00260599"/>
    <w:rsid w:val="00260DDE"/>
    <w:rsid w:val="0026111D"/>
    <w:rsid w:val="00264C41"/>
    <w:rsid w:val="00264FDE"/>
    <w:rsid w:val="0026527F"/>
    <w:rsid w:val="0026532B"/>
    <w:rsid w:val="00265E21"/>
    <w:rsid w:val="00265E39"/>
    <w:rsid w:val="00266C95"/>
    <w:rsid w:val="00266D10"/>
    <w:rsid w:val="0026730A"/>
    <w:rsid w:val="002676D4"/>
    <w:rsid w:val="002677D1"/>
    <w:rsid w:val="00271AC9"/>
    <w:rsid w:val="00271DE0"/>
    <w:rsid w:val="00271F85"/>
    <w:rsid w:val="00272BDE"/>
    <w:rsid w:val="00273228"/>
    <w:rsid w:val="00274258"/>
    <w:rsid w:val="002747ED"/>
    <w:rsid w:val="00274C19"/>
    <w:rsid w:val="00275103"/>
    <w:rsid w:val="002751B6"/>
    <w:rsid w:val="002755B9"/>
    <w:rsid w:val="002764DF"/>
    <w:rsid w:val="00276CBB"/>
    <w:rsid w:val="00277812"/>
    <w:rsid w:val="00277845"/>
    <w:rsid w:val="00277C67"/>
    <w:rsid w:val="002801C7"/>
    <w:rsid w:val="00280956"/>
    <w:rsid w:val="00280C6C"/>
    <w:rsid w:val="00280EF9"/>
    <w:rsid w:val="002813E0"/>
    <w:rsid w:val="0028212A"/>
    <w:rsid w:val="00282C33"/>
    <w:rsid w:val="00283163"/>
    <w:rsid w:val="00283645"/>
    <w:rsid w:val="0028419E"/>
    <w:rsid w:val="002850C7"/>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70E"/>
    <w:rsid w:val="0029319A"/>
    <w:rsid w:val="0029359B"/>
    <w:rsid w:val="00294382"/>
    <w:rsid w:val="00294797"/>
    <w:rsid w:val="00296CDE"/>
    <w:rsid w:val="00296D39"/>
    <w:rsid w:val="00297557"/>
    <w:rsid w:val="002A104F"/>
    <w:rsid w:val="002A20BE"/>
    <w:rsid w:val="002A361E"/>
    <w:rsid w:val="002A3F1F"/>
    <w:rsid w:val="002A4EDC"/>
    <w:rsid w:val="002A5AB4"/>
    <w:rsid w:val="002A66B6"/>
    <w:rsid w:val="002A684E"/>
    <w:rsid w:val="002A6C45"/>
    <w:rsid w:val="002A77DE"/>
    <w:rsid w:val="002A7917"/>
    <w:rsid w:val="002A7A62"/>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CA3"/>
    <w:rsid w:val="002C3D3F"/>
    <w:rsid w:val="002C4A07"/>
    <w:rsid w:val="002C4D7F"/>
    <w:rsid w:val="002C4F36"/>
    <w:rsid w:val="002C51FE"/>
    <w:rsid w:val="002C584D"/>
    <w:rsid w:val="002C5935"/>
    <w:rsid w:val="002C67F8"/>
    <w:rsid w:val="002C6C22"/>
    <w:rsid w:val="002C738B"/>
    <w:rsid w:val="002C7961"/>
    <w:rsid w:val="002C7D39"/>
    <w:rsid w:val="002D0266"/>
    <w:rsid w:val="002D1372"/>
    <w:rsid w:val="002D1391"/>
    <w:rsid w:val="002D13D6"/>
    <w:rsid w:val="002D14CB"/>
    <w:rsid w:val="002D1EB9"/>
    <w:rsid w:val="002D235E"/>
    <w:rsid w:val="002D2462"/>
    <w:rsid w:val="002D2636"/>
    <w:rsid w:val="002D2DB4"/>
    <w:rsid w:val="002D2DF7"/>
    <w:rsid w:val="002D3001"/>
    <w:rsid w:val="002D425D"/>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918"/>
    <w:rsid w:val="002E6369"/>
    <w:rsid w:val="002E6479"/>
    <w:rsid w:val="002E6598"/>
    <w:rsid w:val="002E6FD2"/>
    <w:rsid w:val="002E7572"/>
    <w:rsid w:val="002F0EDC"/>
    <w:rsid w:val="002F0F27"/>
    <w:rsid w:val="002F0FD9"/>
    <w:rsid w:val="002F1078"/>
    <w:rsid w:val="002F1299"/>
    <w:rsid w:val="002F12B4"/>
    <w:rsid w:val="002F19DA"/>
    <w:rsid w:val="002F1A6F"/>
    <w:rsid w:val="002F2478"/>
    <w:rsid w:val="002F2A6C"/>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25BD"/>
    <w:rsid w:val="00302A7D"/>
    <w:rsid w:val="00304146"/>
    <w:rsid w:val="00304BCD"/>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E50"/>
    <w:rsid w:val="00322257"/>
    <w:rsid w:val="003224A9"/>
    <w:rsid w:val="003225DA"/>
    <w:rsid w:val="00322E04"/>
    <w:rsid w:val="00322EDB"/>
    <w:rsid w:val="00323B61"/>
    <w:rsid w:val="003259A7"/>
    <w:rsid w:val="00325BE8"/>
    <w:rsid w:val="00325CB8"/>
    <w:rsid w:val="00326914"/>
    <w:rsid w:val="00326E07"/>
    <w:rsid w:val="00326E22"/>
    <w:rsid w:val="00327261"/>
    <w:rsid w:val="0032749A"/>
    <w:rsid w:val="003276EA"/>
    <w:rsid w:val="003278CE"/>
    <w:rsid w:val="00327A31"/>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AB1"/>
    <w:rsid w:val="0034227B"/>
    <w:rsid w:val="003426D1"/>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27E"/>
    <w:rsid w:val="0035262F"/>
    <w:rsid w:val="00352ABB"/>
    <w:rsid w:val="00352CCE"/>
    <w:rsid w:val="00352F9B"/>
    <w:rsid w:val="00353480"/>
    <w:rsid w:val="003535CF"/>
    <w:rsid w:val="003535FF"/>
    <w:rsid w:val="00353714"/>
    <w:rsid w:val="0035406F"/>
    <w:rsid w:val="003559A1"/>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CC6"/>
    <w:rsid w:val="00372217"/>
    <w:rsid w:val="003739AB"/>
    <w:rsid w:val="00373D9D"/>
    <w:rsid w:val="00373E9D"/>
    <w:rsid w:val="00374785"/>
    <w:rsid w:val="00374BEC"/>
    <w:rsid w:val="003751B0"/>
    <w:rsid w:val="00375270"/>
    <w:rsid w:val="00375687"/>
    <w:rsid w:val="003756AB"/>
    <w:rsid w:val="00375920"/>
    <w:rsid w:val="00375BA4"/>
    <w:rsid w:val="0037626A"/>
    <w:rsid w:val="0037644E"/>
    <w:rsid w:val="00376B84"/>
    <w:rsid w:val="00376F4F"/>
    <w:rsid w:val="00376FFA"/>
    <w:rsid w:val="0037740E"/>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906FD"/>
    <w:rsid w:val="00390BAD"/>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212"/>
    <w:rsid w:val="003A788E"/>
    <w:rsid w:val="003A7943"/>
    <w:rsid w:val="003B16C4"/>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FCC"/>
    <w:rsid w:val="003C22BA"/>
    <w:rsid w:val="003C232B"/>
    <w:rsid w:val="003C254B"/>
    <w:rsid w:val="003C3303"/>
    <w:rsid w:val="003C3399"/>
    <w:rsid w:val="003C35C8"/>
    <w:rsid w:val="003C39AB"/>
    <w:rsid w:val="003C45A0"/>
    <w:rsid w:val="003C4B00"/>
    <w:rsid w:val="003C4E24"/>
    <w:rsid w:val="003C52B6"/>
    <w:rsid w:val="003C5E2A"/>
    <w:rsid w:val="003C7171"/>
    <w:rsid w:val="003C7A64"/>
    <w:rsid w:val="003C7B1D"/>
    <w:rsid w:val="003C7EBD"/>
    <w:rsid w:val="003C7F95"/>
    <w:rsid w:val="003C7FC2"/>
    <w:rsid w:val="003D07C9"/>
    <w:rsid w:val="003D0BE6"/>
    <w:rsid w:val="003D1253"/>
    <w:rsid w:val="003D2C8D"/>
    <w:rsid w:val="003D3448"/>
    <w:rsid w:val="003D38C9"/>
    <w:rsid w:val="003D3B93"/>
    <w:rsid w:val="003D3DEC"/>
    <w:rsid w:val="003D42AD"/>
    <w:rsid w:val="003D42C5"/>
    <w:rsid w:val="003D4337"/>
    <w:rsid w:val="003D4702"/>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8F8"/>
    <w:rsid w:val="003E27FF"/>
    <w:rsid w:val="003E2986"/>
    <w:rsid w:val="003E2AFD"/>
    <w:rsid w:val="003E2B6D"/>
    <w:rsid w:val="003E3D1E"/>
    <w:rsid w:val="003E41D5"/>
    <w:rsid w:val="003E422A"/>
    <w:rsid w:val="003E4244"/>
    <w:rsid w:val="003E43DA"/>
    <w:rsid w:val="003E4567"/>
    <w:rsid w:val="003E4ACF"/>
    <w:rsid w:val="003E4CE0"/>
    <w:rsid w:val="003E4F76"/>
    <w:rsid w:val="003E55BD"/>
    <w:rsid w:val="003E5FC7"/>
    <w:rsid w:val="003E6291"/>
    <w:rsid w:val="003E664E"/>
    <w:rsid w:val="003E66B9"/>
    <w:rsid w:val="003E6CD2"/>
    <w:rsid w:val="003E7A87"/>
    <w:rsid w:val="003E7F41"/>
    <w:rsid w:val="003F004C"/>
    <w:rsid w:val="003F0144"/>
    <w:rsid w:val="003F022F"/>
    <w:rsid w:val="003F0320"/>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550"/>
    <w:rsid w:val="00423565"/>
    <w:rsid w:val="00423F0B"/>
    <w:rsid w:val="004246C2"/>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889"/>
    <w:rsid w:val="00433B53"/>
    <w:rsid w:val="004341A8"/>
    <w:rsid w:val="00435319"/>
    <w:rsid w:val="00435C70"/>
    <w:rsid w:val="00435FCB"/>
    <w:rsid w:val="004360D2"/>
    <w:rsid w:val="00437EDA"/>
    <w:rsid w:val="004411DD"/>
    <w:rsid w:val="004412FF"/>
    <w:rsid w:val="00441660"/>
    <w:rsid w:val="00441AEF"/>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54A1"/>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357"/>
    <w:rsid w:val="004A66EB"/>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4D4"/>
    <w:rsid w:val="004B753E"/>
    <w:rsid w:val="004B7C38"/>
    <w:rsid w:val="004C0CC9"/>
    <w:rsid w:val="004C125A"/>
    <w:rsid w:val="004C17E0"/>
    <w:rsid w:val="004C1B83"/>
    <w:rsid w:val="004C2636"/>
    <w:rsid w:val="004C2AEC"/>
    <w:rsid w:val="004C3734"/>
    <w:rsid w:val="004C3BD3"/>
    <w:rsid w:val="004C4243"/>
    <w:rsid w:val="004C622D"/>
    <w:rsid w:val="004C65B8"/>
    <w:rsid w:val="004C7D53"/>
    <w:rsid w:val="004C7E14"/>
    <w:rsid w:val="004D0BC5"/>
    <w:rsid w:val="004D12E1"/>
    <w:rsid w:val="004D1459"/>
    <w:rsid w:val="004D176C"/>
    <w:rsid w:val="004D1FA6"/>
    <w:rsid w:val="004D21D9"/>
    <w:rsid w:val="004D24B1"/>
    <w:rsid w:val="004D31E1"/>
    <w:rsid w:val="004D3806"/>
    <w:rsid w:val="004D39C8"/>
    <w:rsid w:val="004D3B0C"/>
    <w:rsid w:val="004D3E20"/>
    <w:rsid w:val="004D4132"/>
    <w:rsid w:val="004D4CF7"/>
    <w:rsid w:val="004D4D25"/>
    <w:rsid w:val="004D5746"/>
    <w:rsid w:val="004D604B"/>
    <w:rsid w:val="004D6349"/>
    <w:rsid w:val="004D6F4B"/>
    <w:rsid w:val="004D75C2"/>
    <w:rsid w:val="004D7E45"/>
    <w:rsid w:val="004E1196"/>
    <w:rsid w:val="004E1372"/>
    <w:rsid w:val="004E1B50"/>
    <w:rsid w:val="004E1C8E"/>
    <w:rsid w:val="004E32BD"/>
    <w:rsid w:val="004E37EE"/>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25C6"/>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56A6"/>
    <w:rsid w:val="00515CE0"/>
    <w:rsid w:val="005160C5"/>
    <w:rsid w:val="005165FE"/>
    <w:rsid w:val="00516E49"/>
    <w:rsid w:val="005173CA"/>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F03"/>
    <w:rsid w:val="00566407"/>
    <w:rsid w:val="005664EE"/>
    <w:rsid w:val="005676BC"/>
    <w:rsid w:val="00567C57"/>
    <w:rsid w:val="0057115B"/>
    <w:rsid w:val="005720ED"/>
    <w:rsid w:val="005721A7"/>
    <w:rsid w:val="00573440"/>
    <w:rsid w:val="00573B1A"/>
    <w:rsid w:val="00574E5A"/>
    <w:rsid w:val="00575092"/>
    <w:rsid w:val="00575C40"/>
    <w:rsid w:val="005775A7"/>
    <w:rsid w:val="00577645"/>
    <w:rsid w:val="0057771F"/>
    <w:rsid w:val="0057798F"/>
    <w:rsid w:val="00580A2B"/>
    <w:rsid w:val="00580B01"/>
    <w:rsid w:val="00580DAD"/>
    <w:rsid w:val="00581377"/>
    <w:rsid w:val="005823E7"/>
    <w:rsid w:val="00582A13"/>
    <w:rsid w:val="00582F6F"/>
    <w:rsid w:val="00583D6B"/>
    <w:rsid w:val="0058466A"/>
    <w:rsid w:val="00584E86"/>
    <w:rsid w:val="005856A9"/>
    <w:rsid w:val="005858B0"/>
    <w:rsid w:val="005868B6"/>
    <w:rsid w:val="00586AFB"/>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34C"/>
    <w:rsid w:val="005B0CB9"/>
    <w:rsid w:val="005B23F8"/>
    <w:rsid w:val="005B262A"/>
    <w:rsid w:val="005B2845"/>
    <w:rsid w:val="005B318C"/>
    <w:rsid w:val="005B3581"/>
    <w:rsid w:val="005B3B58"/>
    <w:rsid w:val="005B40E6"/>
    <w:rsid w:val="005B447A"/>
    <w:rsid w:val="005B4484"/>
    <w:rsid w:val="005B4855"/>
    <w:rsid w:val="005B5264"/>
    <w:rsid w:val="005B53D3"/>
    <w:rsid w:val="005B54AF"/>
    <w:rsid w:val="005B563C"/>
    <w:rsid w:val="005B59A3"/>
    <w:rsid w:val="005B5FD5"/>
    <w:rsid w:val="005B61CF"/>
    <w:rsid w:val="005B739A"/>
    <w:rsid w:val="005C076D"/>
    <w:rsid w:val="005C0D62"/>
    <w:rsid w:val="005C0F86"/>
    <w:rsid w:val="005C1419"/>
    <w:rsid w:val="005C1941"/>
    <w:rsid w:val="005C1C66"/>
    <w:rsid w:val="005C1F48"/>
    <w:rsid w:val="005C1FCB"/>
    <w:rsid w:val="005C26BC"/>
    <w:rsid w:val="005C2FCD"/>
    <w:rsid w:val="005C315B"/>
    <w:rsid w:val="005C32F4"/>
    <w:rsid w:val="005C354A"/>
    <w:rsid w:val="005C3851"/>
    <w:rsid w:val="005C3AAF"/>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99F"/>
    <w:rsid w:val="005D29C2"/>
    <w:rsid w:val="005D2B43"/>
    <w:rsid w:val="005D320C"/>
    <w:rsid w:val="005D3B42"/>
    <w:rsid w:val="005D3F88"/>
    <w:rsid w:val="005D3FD0"/>
    <w:rsid w:val="005D4443"/>
    <w:rsid w:val="005D4EAC"/>
    <w:rsid w:val="005D5564"/>
    <w:rsid w:val="005D599C"/>
    <w:rsid w:val="005D5B8C"/>
    <w:rsid w:val="005D73AA"/>
    <w:rsid w:val="005D7797"/>
    <w:rsid w:val="005E0681"/>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F9"/>
    <w:rsid w:val="00610BC2"/>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522A"/>
    <w:rsid w:val="006253C0"/>
    <w:rsid w:val="00625B6C"/>
    <w:rsid w:val="00625C6F"/>
    <w:rsid w:val="00625EBC"/>
    <w:rsid w:val="0062615B"/>
    <w:rsid w:val="006262A5"/>
    <w:rsid w:val="006262A7"/>
    <w:rsid w:val="006262F8"/>
    <w:rsid w:val="00627794"/>
    <w:rsid w:val="0062787A"/>
    <w:rsid w:val="00627914"/>
    <w:rsid w:val="00627AA9"/>
    <w:rsid w:val="006301DC"/>
    <w:rsid w:val="006307BB"/>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140F"/>
    <w:rsid w:val="006417BB"/>
    <w:rsid w:val="00641B01"/>
    <w:rsid w:val="00641E9F"/>
    <w:rsid w:val="006420DD"/>
    <w:rsid w:val="00642268"/>
    <w:rsid w:val="006434AD"/>
    <w:rsid w:val="006440CE"/>
    <w:rsid w:val="00644394"/>
    <w:rsid w:val="00644771"/>
    <w:rsid w:val="00644B5F"/>
    <w:rsid w:val="00644E98"/>
    <w:rsid w:val="00645082"/>
    <w:rsid w:val="00645163"/>
    <w:rsid w:val="00645AC0"/>
    <w:rsid w:val="00645CB8"/>
    <w:rsid w:val="00645EE6"/>
    <w:rsid w:val="006464DE"/>
    <w:rsid w:val="00646561"/>
    <w:rsid w:val="006465CA"/>
    <w:rsid w:val="00647E7F"/>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14A2"/>
    <w:rsid w:val="006622D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AA8"/>
    <w:rsid w:val="00670ACC"/>
    <w:rsid w:val="00672B19"/>
    <w:rsid w:val="00672B53"/>
    <w:rsid w:val="00672F34"/>
    <w:rsid w:val="006731A2"/>
    <w:rsid w:val="00673BBB"/>
    <w:rsid w:val="00673C13"/>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1AF0"/>
    <w:rsid w:val="006B26B6"/>
    <w:rsid w:val="006B2833"/>
    <w:rsid w:val="006B2AC5"/>
    <w:rsid w:val="006B2C7D"/>
    <w:rsid w:val="006B2F6A"/>
    <w:rsid w:val="006B351A"/>
    <w:rsid w:val="006B3C1E"/>
    <w:rsid w:val="006B3E7A"/>
    <w:rsid w:val="006B4641"/>
    <w:rsid w:val="006B5294"/>
    <w:rsid w:val="006B538F"/>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2032"/>
    <w:rsid w:val="006C2677"/>
    <w:rsid w:val="006C3822"/>
    <w:rsid w:val="006C388B"/>
    <w:rsid w:val="006C3B34"/>
    <w:rsid w:val="006C3DCE"/>
    <w:rsid w:val="006C3E2D"/>
    <w:rsid w:val="006C3E8F"/>
    <w:rsid w:val="006C3FB7"/>
    <w:rsid w:val="006C43EA"/>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CEC"/>
    <w:rsid w:val="006E6F8E"/>
    <w:rsid w:val="006E7A25"/>
    <w:rsid w:val="006E7D87"/>
    <w:rsid w:val="006F0153"/>
    <w:rsid w:val="006F0243"/>
    <w:rsid w:val="006F1E61"/>
    <w:rsid w:val="006F218F"/>
    <w:rsid w:val="006F3158"/>
    <w:rsid w:val="006F4D0C"/>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7B5"/>
    <w:rsid w:val="007048A1"/>
    <w:rsid w:val="00704D55"/>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95C"/>
    <w:rsid w:val="007169C7"/>
    <w:rsid w:val="00717193"/>
    <w:rsid w:val="007174FE"/>
    <w:rsid w:val="00720114"/>
    <w:rsid w:val="007202C5"/>
    <w:rsid w:val="00720CF9"/>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D2E"/>
    <w:rsid w:val="00732418"/>
    <w:rsid w:val="00732568"/>
    <w:rsid w:val="007325F5"/>
    <w:rsid w:val="00733552"/>
    <w:rsid w:val="00733CD4"/>
    <w:rsid w:val="0073408B"/>
    <w:rsid w:val="00734531"/>
    <w:rsid w:val="00734B22"/>
    <w:rsid w:val="00735159"/>
    <w:rsid w:val="007359D2"/>
    <w:rsid w:val="00735A6C"/>
    <w:rsid w:val="00735C16"/>
    <w:rsid w:val="00735F7B"/>
    <w:rsid w:val="007360DD"/>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5D69"/>
    <w:rsid w:val="007661C0"/>
    <w:rsid w:val="00766B83"/>
    <w:rsid w:val="00766D34"/>
    <w:rsid w:val="00766F4D"/>
    <w:rsid w:val="007672BC"/>
    <w:rsid w:val="00767835"/>
    <w:rsid w:val="00767AA3"/>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6A68"/>
    <w:rsid w:val="00776C8E"/>
    <w:rsid w:val="00777FB7"/>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F6"/>
    <w:rsid w:val="00795C14"/>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5FD6"/>
    <w:rsid w:val="007C6C7C"/>
    <w:rsid w:val="007C6DD4"/>
    <w:rsid w:val="007C711E"/>
    <w:rsid w:val="007C74BB"/>
    <w:rsid w:val="007D0272"/>
    <w:rsid w:val="007D09D3"/>
    <w:rsid w:val="007D26D9"/>
    <w:rsid w:val="007D27DA"/>
    <w:rsid w:val="007D2A4C"/>
    <w:rsid w:val="007D4A4B"/>
    <w:rsid w:val="007D4BC7"/>
    <w:rsid w:val="007D50FE"/>
    <w:rsid w:val="007D5D1D"/>
    <w:rsid w:val="007D69FB"/>
    <w:rsid w:val="007D71C2"/>
    <w:rsid w:val="007D7AFC"/>
    <w:rsid w:val="007E0081"/>
    <w:rsid w:val="007E03B4"/>
    <w:rsid w:val="007E1052"/>
    <w:rsid w:val="007E153B"/>
    <w:rsid w:val="007E16BF"/>
    <w:rsid w:val="007E1706"/>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69A7"/>
    <w:rsid w:val="007E6C72"/>
    <w:rsid w:val="007E78F3"/>
    <w:rsid w:val="007E7E2A"/>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D8D"/>
    <w:rsid w:val="008027CA"/>
    <w:rsid w:val="00802894"/>
    <w:rsid w:val="008039A1"/>
    <w:rsid w:val="00803AAB"/>
    <w:rsid w:val="00803AAC"/>
    <w:rsid w:val="00804153"/>
    <w:rsid w:val="00804275"/>
    <w:rsid w:val="00804654"/>
    <w:rsid w:val="008048B6"/>
    <w:rsid w:val="00804C8C"/>
    <w:rsid w:val="00806379"/>
    <w:rsid w:val="00807001"/>
    <w:rsid w:val="00807060"/>
    <w:rsid w:val="008070C2"/>
    <w:rsid w:val="00807F06"/>
    <w:rsid w:val="00810829"/>
    <w:rsid w:val="008116BC"/>
    <w:rsid w:val="008116E3"/>
    <w:rsid w:val="00811A2D"/>
    <w:rsid w:val="00811E9B"/>
    <w:rsid w:val="00811EB2"/>
    <w:rsid w:val="0081288C"/>
    <w:rsid w:val="008128B5"/>
    <w:rsid w:val="00812A12"/>
    <w:rsid w:val="00813AD1"/>
    <w:rsid w:val="00813D35"/>
    <w:rsid w:val="00813FB0"/>
    <w:rsid w:val="0081511C"/>
    <w:rsid w:val="00815D9B"/>
    <w:rsid w:val="00816A58"/>
    <w:rsid w:val="00817414"/>
    <w:rsid w:val="00817B0F"/>
    <w:rsid w:val="00820019"/>
    <w:rsid w:val="008200FC"/>
    <w:rsid w:val="00820454"/>
    <w:rsid w:val="00820BCE"/>
    <w:rsid w:val="00821122"/>
    <w:rsid w:val="00821140"/>
    <w:rsid w:val="008213FC"/>
    <w:rsid w:val="00822CF4"/>
    <w:rsid w:val="00824DD3"/>
    <w:rsid w:val="00825221"/>
    <w:rsid w:val="00825813"/>
    <w:rsid w:val="00825C4E"/>
    <w:rsid w:val="00826B13"/>
    <w:rsid w:val="00826B4C"/>
    <w:rsid w:val="00826BD9"/>
    <w:rsid w:val="00827ECB"/>
    <w:rsid w:val="00830209"/>
    <w:rsid w:val="0083055D"/>
    <w:rsid w:val="00830B05"/>
    <w:rsid w:val="008314D9"/>
    <w:rsid w:val="00831568"/>
    <w:rsid w:val="00831722"/>
    <w:rsid w:val="00831761"/>
    <w:rsid w:val="00831B4F"/>
    <w:rsid w:val="00832043"/>
    <w:rsid w:val="00832474"/>
    <w:rsid w:val="00833C13"/>
    <w:rsid w:val="00833E5A"/>
    <w:rsid w:val="00834103"/>
    <w:rsid w:val="008345BB"/>
    <w:rsid w:val="00834D9D"/>
    <w:rsid w:val="0083692D"/>
    <w:rsid w:val="0083774B"/>
    <w:rsid w:val="00837D0D"/>
    <w:rsid w:val="00840B73"/>
    <w:rsid w:val="00840D1C"/>
    <w:rsid w:val="00841620"/>
    <w:rsid w:val="00841E68"/>
    <w:rsid w:val="00842192"/>
    <w:rsid w:val="00842316"/>
    <w:rsid w:val="0084339F"/>
    <w:rsid w:val="00843966"/>
    <w:rsid w:val="00843AC7"/>
    <w:rsid w:val="0084410B"/>
    <w:rsid w:val="008471B5"/>
    <w:rsid w:val="00847417"/>
    <w:rsid w:val="00847480"/>
    <w:rsid w:val="008474A3"/>
    <w:rsid w:val="00850668"/>
    <w:rsid w:val="008507B8"/>
    <w:rsid w:val="00850848"/>
    <w:rsid w:val="008512FC"/>
    <w:rsid w:val="00852A76"/>
    <w:rsid w:val="008539BD"/>
    <w:rsid w:val="00853D16"/>
    <w:rsid w:val="00853D36"/>
    <w:rsid w:val="00854D1F"/>
    <w:rsid w:val="00854F65"/>
    <w:rsid w:val="008559E2"/>
    <w:rsid w:val="008561B2"/>
    <w:rsid w:val="00856781"/>
    <w:rsid w:val="00857172"/>
    <w:rsid w:val="008578DC"/>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8EB"/>
    <w:rsid w:val="00865998"/>
    <w:rsid w:val="00865DB1"/>
    <w:rsid w:val="0086779C"/>
    <w:rsid w:val="00867A18"/>
    <w:rsid w:val="00867A51"/>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30A0"/>
    <w:rsid w:val="008836B8"/>
    <w:rsid w:val="00883DB0"/>
    <w:rsid w:val="00884B28"/>
    <w:rsid w:val="0088510F"/>
    <w:rsid w:val="008854BB"/>
    <w:rsid w:val="008855E8"/>
    <w:rsid w:val="00885623"/>
    <w:rsid w:val="00885A0D"/>
    <w:rsid w:val="00885A0E"/>
    <w:rsid w:val="00886E49"/>
    <w:rsid w:val="00887133"/>
    <w:rsid w:val="00887E46"/>
    <w:rsid w:val="00890703"/>
    <w:rsid w:val="00890B4B"/>
    <w:rsid w:val="00890C42"/>
    <w:rsid w:val="00891548"/>
    <w:rsid w:val="00891676"/>
    <w:rsid w:val="00891D08"/>
    <w:rsid w:val="0089257A"/>
    <w:rsid w:val="00892B2B"/>
    <w:rsid w:val="00892C89"/>
    <w:rsid w:val="0089324D"/>
    <w:rsid w:val="008933D7"/>
    <w:rsid w:val="00893DFB"/>
    <w:rsid w:val="00894449"/>
    <w:rsid w:val="008947DC"/>
    <w:rsid w:val="00895A3D"/>
    <w:rsid w:val="00895BD3"/>
    <w:rsid w:val="00895C95"/>
    <w:rsid w:val="00895FC3"/>
    <w:rsid w:val="00895FFD"/>
    <w:rsid w:val="008960FA"/>
    <w:rsid w:val="0089650B"/>
    <w:rsid w:val="00896919"/>
    <w:rsid w:val="0089721F"/>
    <w:rsid w:val="00897634"/>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1"/>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75A"/>
    <w:rsid w:val="008E2773"/>
    <w:rsid w:val="008E27FD"/>
    <w:rsid w:val="008E3397"/>
    <w:rsid w:val="008E358D"/>
    <w:rsid w:val="008E5161"/>
    <w:rsid w:val="008E589A"/>
    <w:rsid w:val="008E6057"/>
    <w:rsid w:val="008E652E"/>
    <w:rsid w:val="008E6C06"/>
    <w:rsid w:val="008E6CEB"/>
    <w:rsid w:val="008E6EA7"/>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CFF"/>
    <w:rsid w:val="008F651B"/>
    <w:rsid w:val="008F67D8"/>
    <w:rsid w:val="008F69A7"/>
    <w:rsid w:val="008F7270"/>
    <w:rsid w:val="008F7541"/>
    <w:rsid w:val="008F76BA"/>
    <w:rsid w:val="008F7CAE"/>
    <w:rsid w:val="008F7DCF"/>
    <w:rsid w:val="009002B6"/>
    <w:rsid w:val="009005BB"/>
    <w:rsid w:val="009009C5"/>
    <w:rsid w:val="00900E50"/>
    <w:rsid w:val="0090148F"/>
    <w:rsid w:val="00901917"/>
    <w:rsid w:val="00901E6F"/>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47CF"/>
    <w:rsid w:val="00915260"/>
    <w:rsid w:val="00915A31"/>
    <w:rsid w:val="00915A6B"/>
    <w:rsid w:val="00916AE9"/>
    <w:rsid w:val="00916C71"/>
    <w:rsid w:val="00916D14"/>
    <w:rsid w:val="009177C1"/>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7A1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40282"/>
    <w:rsid w:val="00940972"/>
    <w:rsid w:val="00940988"/>
    <w:rsid w:val="00940AE2"/>
    <w:rsid w:val="00941858"/>
    <w:rsid w:val="009426A8"/>
    <w:rsid w:val="00942992"/>
    <w:rsid w:val="00942D0F"/>
    <w:rsid w:val="00943B4D"/>
    <w:rsid w:val="00943DB6"/>
    <w:rsid w:val="009452E6"/>
    <w:rsid w:val="0094534D"/>
    <w:rsid w:val="0094570E"/>
    <w:rsid w:val="009457A5"/>
    <w:rsid w:val="009458DE"/>
    <w:rsid w:val="00945CA9"/>
    <w:rsid w:val="0094633B"/>
    <w:rsid w:val="00946B73"/>
    <w:rsid w:val="009470DF"/>
    <w:rsid w:val="009471D4"/>
    <w:rsid w:val="00947C36"/>
    <w:rsid w:val="00947F5B"/>
    <w:rsid w:val="0095055D"/>
    <w:rsid w:val="009505AA"/>
    <w:rsid w:val="00950F0B"/>
    <w:rsid w:val="00950F13"/>
    <w:rsid w:val="009516B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4202"/>
    <w:rsid w:val="009B486A"/>
    <w:rsid w:val="009B4BAF"/>
    <w:rsid w:val="009B4E1B"/>
    <w:rsid w:val="009B522C"/>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5312"/>
    <w:rsid w:val="009D57AE"/>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D84"/>
    <w:rsid w:val="009F4F26"/>
    <w:rsid w:val="009F5237"/>
    <w:rsid w:val="009F52BC"/>
    <w:rsid w:val="009F56F5"/>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57B1"/>
    <w:rsid w:val="00A05831"/>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8CA"/>
    <w:rsid w:val="00A24BCB"/>
    <w:rsid w:val="00A25385"/>
    <w:rsid w:val="00A258C5"/>
    <w:rsid w:val="00A258CE"/>
    <w:rsid w:val="00A25F23"/>
    <w:rsid w:val="00A26180"/>
    <w:rsid w:val="00A26576"/>
    <w:rsid w:val="00A26ADF"/>
    <w:rsid w:val="00A26DA2"/>
    <w:rsid w:val="00A26DFB"/>
    <w:rsid w:val="00A27986"/>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5037A"/>
    <w:rsid w:val="00A50505"/>
    <w:rsid w:val="00A51B57"/>
    <w:rsid w:val="00A52EDF"/>
    <w:rsid w:val="00A53E99"/>
    <w:rsid w:val="00A53EEF"/>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D6F"/>
    <w:rsid w:val="00A85F43"/>
    <w:rsid w:val="00A86278"/>
    <w:rsid w:val="00A86696"/>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C78"/>
    <w:rsid w:val="00AA70FE"/>
    <w:rsid w:val="00AA719E"/>
    <w:rsid w:val="00AA781C"/>
    <w:rsid w:val="00AB08E4"/>
    <w:rsid w:val="00AB1340"/>
    <w:rsid w:val="00AB1D90"/>
    <w:rsid w:val="00AB2487"/>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4C28"/>
    <w:rsid w:val="00AC4D83"/>
    <w:rsid w:val="00AC538A"/>
    <w:rsid w:val="00AC5419"/>
    <w:rsid w:val="00AC583A"/>
    <w:rsid w:val="00AC59E4"/>
    <w:rsid w:val="00AC6055"/>
    <w:rsid w:val="00AC6182"/>
    <w:rsid w:val="00AC62DE"/>
    <w:rsid w:val="00AC6309"/>
    <w:rsid w:val="00AC6C0A"/>
    <w:rsid w:val="00AD00C2"/>
    <w:rsid w:val="00AD0432"/>
    <w:rsid w:val="00AD0913"/>
    <w:rsid w:val="00AD0E51"/>
    <w:rsid w:val="00AD1040"/>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22"/>
    <w:rsid w:val="00AE3F2C"/>
    <w:rsid w:val="00AE42BF"/>
    <w:rsid w:val="00AE4387"/>
    <w:rsid w:val="00AE4AEE"/>
    <w:rsid w:val="00AE4E5F"/>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0B85"/>
    <w:rsid w:val="00B01146"/>
    <w:rsid w:val="00B018BB"/>
    <w:rsid w:val="00B0197B"/>
    <w:rsid w:val="00B01D9B"/>
    <w:rsid w:val="00B01FE5"/>
    <w:rsid w:val="00B02287"/>
    <w:rsid w:val="00B0240C"/>
    <w:rsid w:val="00B02A8B"/>
    <w:rsid w:val="00B02AD5"/>
    <w:rsid w:val="00B034FA"/>
    <w:rsid w:val="00B03B1D"/>
    <w:rsid w:val="00B04174"/>
    <w:rsid w:val="00B04796"/>
    <w:rsid w:val="00B05176"/>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6935"/>
    <w:rsid w:val="00B16E92"/>
    <w:rsid w:val="00B1764A"/>
    <w:rsid w:val="00B2069C"/>
    <w:rsid w:val="00B20A16"/>
    <w:rsid w:val="00B21E86"/>
    <w:rsid w:val="00B21F98"/>
    <w:rsid w:val="00B22379"/>
    <w:rsid w:val="00B22A4D"/>
    <w:rsid w:val="00B22A6C"/>
    <w:rsid w:val="00B22D2F"/>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140"/>
    <w:rsid w:val="00B2740C"/>
    <w:rsid w:val="00B30AC3"/>
    <w:rsid w:val="00B31110"/>
    <w:rsid w:val="00B31243"/>
    <w:rsid w:val="00B31392"/>
    <w:rsid w:val="00B31436"/>
    <w:rsid w:val="00B3151B"/>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314"/>
    <w:rsid w:val="00B503E6"/>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D59"/>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C33"/>
    <w:rsid w:val="00BA7481"/>
    <w:rsid w:val="00BA7CC5"/>
    <w:rsid w:val="00BA7E93"/>
    <w:rsid w:val="00BB00C0"/>
    <w:rsid w:val="00BB08FF"/>
    <w:rsid w:val="00BB10BD"/>
    <w:rsid w:val="00BB142C"/>
    <w:rsid w:val="00BB1851"/>
    <w:rsid w:val="00BB1CB8"/>
    <w:rsid w:val="00BB26DD"/>
    <w:rsid w:val="00BB274B"/>
    <w:rsid w:val="00BB2F19"/>
    <w:rsid w:val="00BB33D9"/>
    <w:rsid w:val="00BB3883"/>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A8E"/>
    <w:rsid w:val="00BC2FCC"/>
    <w:rsid w:val="00BC31FB"/>
    <w:rsid w:val="00BC3393"/>
    <w:rsid w:val="00BC4B59"/>
    <w:rsid w:val="00BC4B65"/>
    <w:rsid w:val="00BC4F1F"/>
    <w:rsid w:val="00BC5098"/>
    <w:rsid w:val="00BC5720"/>
    <w:rsid w:val="00BC58C9"/>
    <w:rsid w:val="00BC615F"/>
    <w:rsid w:val="00BC6B4C"/>
    <w:rsid w:val="00BC7AD6"/>
    <w:rsid w:val="00BC7AF6"/>
    <w:rsid w:val="00BD02D2"/>
    <w:rsid w:val="00BD2954"/>
    <w:rsid w:val="00BD2BEC"/>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2E31"/>
    <w:rsid w:val="00C0300B"/>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BB3"/>
    <w:rsid w:val="00C21426"/>
    <w:rsid w:val="00C219D0"/>
    <w:rsid w:val="00C2248D"/>
    <w:rsid w:val="00C22596"/>
    <w:rsid w:val="00C22F16"/>
    <w:rsid w:val="00C23461"/>
    <w:rsid w:val="00C238EE"/>
    <w:rsid w:val="00C23D54"/>
    <w:rsid w:val="00C2432D"/>
    <w:rsid w:val="00C243B6"/>
    <w:rsid w:val="00C26E36"/>
    <w:rsid w:val="00C27160"/>
    <w:rsid w:val="00C2719B"/>
    <w:rsid w:val="00C273AB"/>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1AA"/>
    <w:rsid w:val="00C41F5A"/>
    <w:rsid w:val="00C42033"/>
    <w:rsid w:val="00C424C7"/>
    <w:rsid w:val="00C42B94"/>
    <w:rsid w:val="00C42E48"/>
    <w:rsid w:val="00C42EE3"/>
    <w:rsid w:val="00C4300C"/>
    <w:rsid w:val="00C43CBD"/>
    <w:rsid w:val="00C440CA"/>
    <w:rsid w:val="00C4424A"/>
    <w:rsid w:val="00C4475B"/>
    <w:rsid w:val="00C44992"/>
    <w:rsid w:val="00C4585C"/>
    <w:rsid w:val="00C45A6C"/>
    <w:rsid w:val="00C4661E"/>
    <w:rsid w:val="00C46F1D"/>
    <w:rsid w:val="00C4720D"/>
    <w:rsid w:val="00C47971"/>
    <w:rsid w:val="00C502C1"/>
    <w:rsid w:val="00C50504"/>
    <w:rsid w:val="00C513BB"/>
    <w:rsid w:val="00C51693"/>
    <w:rsid w:val="00C51DBF"/>
    <w:rsid w:val="00C52277"/>
    <w:rsid w:val="00C52330"/>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6FE2"/>
    <w:rsid w:val="00C7703B"/>
    <w:rsid w:val="00C772FA"/>
    <w:rsid w:val="00C777CF"/>
    <w:rsid w:val="00C77B8F"/>
    <w:rsid w:val="00C77BD0"/>
    <w:rsid w:val="00C77EBE"/>
    <w:rsid w:val="00C80745"/>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24BE"/>
    <w:rsid w:val="00C932BF"/>
    <w:rsid w:val="00C93B6B"/>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B9B"/>
    <w:rsid w:val="00CA2BA6"/>
    <w:rsid w:val="00CA335A"/>
    <w:rsid w:val="00CA4502"/>
    <w:rsid w:val="00CA4575"/>
    <w:rsid w:val="00CA486E"/>
    <w:rsid w:val="00CA4BEF"/>
    <w:rsid w:val="00CA4BF3"/>
    <w:rsid w:val="00CA558D"/>
    <w:rsid w:val="00CA5A59"/>
    <w:rsid w:val="00CA5C21"/>
    <w:rsid w:val="00CA6778"/>
    <w:rsid w:val="00CA6883"/>
    <w:rsid w:val="00CA73BC"/>
    <w:rsid w:val="00CA7593"/>
    <w:rsid w:val="00CA7D5D"/>
    <w:rsid w:val="00CB0242"/>
    <w:rsid w:val="00CB031B"/>
    <w:rsid w:val="00CB06CA"/>
    <w:rsid w:val="00CB0DC7"/>
    <w:rsid w:val="00CB0E1B"/>
    <w:rsid w:val="00CB130D"/>
    <w:rsid w:val="00CB15B0"/>
    <w:rsid w:val="00CB1A60"/>
    <w:rsid w:val="00CB1D3C"/>
    <w:rsid w:val="00CB1D9C"/>
    <w:rsid w:val="00CB2545"/>
    <w:rsid w:val="00CB2561"/>
    <w:rsid w:val="00CB2629"/>
    <w:rsid w:val="00CB29C2"/>
    <w:rsid w:val="00CB3D99"/>
    <w:rsid w:val="00CB425B"/>
    <w:rsid w:val="00CB4802"/>
    <w:rsid w:val="00CB4D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231A"/>
    <w:rsid w:val="00CD240A"/>
    <w:rsid w:val="00CD299D"/>
    <w:rsid w:val="00CD2EC8"/>
    <w:rsid w:val="00CD3837"/>
    <w:rsid w:val="00CD45E7"/>
    <w:rsid w:val="00CD4A18"/>
    <w:rsid w:val="00CD4A9C"/>
    <w:rsid w:val="00CD4B9B"/>
    <w:rsid w:val="00CD517D"/>
    <w:rsid w:val="00CD51FB"/>
    <w:rsid w:val="00CD5C08"/>
    <w:rsid w:val="00CD6198"/>
    <w:rsid w:val="00CD6A86"/>
    <w:rsid w:val="00CD73BB"/>
    <w:rsid w:val="00CD75C5"/>
    <w:rsid w:val="00CD7A75"/>
    <w:rsid w:val="00CE09CF"/>
    <w:rsid w:val="00CE0B11"/>
    <w:rsid w:val="00CE0BBA"/>
    <w:rsid w:val="00CE155F"/>
    <w:rsid w:val="00CE1BD1"/>
    <w:rsid w:val="00CE1E25"/>
    <w:rsid w:val="00CE1FEC"/>
    <w:rsid w:val="00CE20B8"/>
    <w:rsid w:val="00CE212E"/>
    <w:rsid w:val="00CE2715"/>
    <w:rsid w:val="00CE280A"/>
    <w:rsid w:val="00CE34A6"/>
    <w:rsid w:val="00CE3DD7"/>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A2C"/>
    <w:rsid w:val="00CF5DDA"/>
    <w:rsid w:val="00CF6394"/>
    <w:rsid w:val="00CF66F2"/>
    <w:rsid w:val="00CF6881"/>
    <w:rsid w:val="00CF73CC"/>
    <w:rsid w:val="00CF7507"/>
    <w:rsid w:val="00CF7843"/>
    <w:rsid w:val="00CF7BC9"/>
    <w:rsid w:val="00D00A91"/>
    <w:rsid w:val="00D016A5"/>
    <w:rsid w:val="00D0185B"/>
    <w:rsid w:val="00D02A6D"/>
    <w:rsid w:val="00D0337C"/>
    <w:rsid w:val="00D033C8"/>
    <w:rsid w:val="00D03E14"/>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E1D"/>
    <w:rsid w:val="00D14E3F"/>
    <w:rsid w:val="00D15FDC"/>
    <w:rsid w:val="00D1619C"/>
    <w:rsid w:val="00D16622"/>
    <w:rsid w:val="00D17B73"/>
    <w:rsid w:val="00D17F6C"/>
    <w:rsid w:val="00D20DAD"/>
    <w:rsid w:val="00D20F75"/>
    <w:rsid w:val="00D218F0"/>
    <w:rsid w:val="00D21D33"/>
    <w:rsid w:val="00D238E4"/>
    <w:rsid w:val="00D239C9"/>
    <w:rsid w:val="00D23BF7"/>
    <w:rsid w:val="00D24D07"/>
    <w:rsid w:val="00D254BB"/>
    <w:rsid w:val="00D25E61"/>
    <w:rsid w:val="00D26255"/>
    <w:rsid w:val="00D266A7"/>
    <w:rsid w:val="00D26DD4"/>
    <w:rsid w:val="00D271A4"/>
    <w:rsid w:val="00D276FE"/>
    <w:rsid w:val="00D277DB"/>
    <w:rsid w:val="00D27EAE"/>
    <w:rsid w:val="00D300FB"/>
    <w:rsid w:val="00D3051A"/>
    <w:rsid w:val="00D30537"/>
    <w:rsid w:val="00D305C1"/>
    <w:rsid w:val="00D3109A"/>
    <w:rsid w:val="00D310FE"/>
    <w:rsid w:val="00D31D9D"/>
    <w:rsid w:val="00D31F2C"/>
    <w:rsid w:val="00D32CB2"/>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71F6"/>
    <w:rsid w:val="00D572CE"/>
    <w:rsid w:val="00D57A75"/>
    <w:rsid w:val="00D57EFA"/>
    <w:rsid w:val="00D6093C"/>
    <w:rsid w:val="00D60A16"/>
    <w:rsid w:val="00D6137B"/>
    <w:rsid w:val="00D61E93"/>
    <w:rsid w:val="00D625E5"/>
    <w:rsid w:val="00D626FD"/>
    <w:rsid w:val="00D62970"/>
    <w:rsid w:val="00D62B4C"/>
    <w:rsid w:val="00D63866"/>
    <w:rsid w:val="00D63DEC"/>
    <w:rsid w:val="00D64210"/>
    <w:rsid w:val="00D6471A"/>
    <w:rsid w:val="00D6538B"/>
    <w:rsid w:val="00D655FE"/>
    <w:rsid w:val="00D65782"/>
    <w:rsid w:val="00D657A7"/>
    <w:rsid w:val="00D6685C"/>
    <w:rsid w:val="00D67420"/>
    <w:rsid w:val="00D67522"/>
    <w:rsid w:val="00D675E2"/>
    <w:rsid w:val="00D7032F"/>
    <w:rsid w:val="00D707DA"/>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2018"/>
    <w:rsid w:val="00D8205F"/>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C15"/>
    <w:rsid w:val="00D93E49"/>
    <w:rsid w:val="00D9417C"/>
    <w:rsid w:val="00D941A6"/>
    <w:rsid w:val="00D9507D"/>
    <w:rsid w:val="00D95EED"/>
    <w:rsid w:val="00D9600B"/>
    <w:rsid w:val="00D966A5"/>
    <w:rsid w:val="00D96965"/>
    <w:rsid w:val="00D969F1"/>
    <w:rsid w:val="00DA00F2"/>
    <w:rsid w:val="00DA023B"/>
    <w:rsid w:val="00DA0907"/>
    <w:rsid w:val="00DA179D"/>
    <w:rsid w:val="00DA1D27"/>
    <w:rsid w:val="00DA2143"/>
    <w:rsid w:val="00DA3D57"/>
    <w:rsid w:val="00DA448E"/>
    <w:rsid w:val="00DA48D2"/>
    <w:rsid w:val="00DA4981"/>
    <w:rsid w:val="00DA4B26"/>
    <w:rsid w:val="00DA5610"/>
    <w:rsid w:val="00DA57E3"/>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3078"/>
    <w:rsid w:val="00DC3609"/>
    <w:rsid w:val="00DC4180"/>
    <w:rsid w:val="00DC519E"/>
    <w:rsid w:val="00DC611C"/>
    <w:rsid w:val="00DC6741"/>
    <w:rsid w:val="00DC6C9E"/>
    <w:rsid w:val="00DC7664"/>
    <w:rsid w:val="00DC782C"/>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E97"/>
    <w:rsid w:val="00DE4EFF"/>
    <w:rsid w:val="00DE4F7F"/>
    <w:rsid w:val="00DE50AA"/>
    <w:rsid w:val="00DE51E5"/>
    <w:rsid w:val="00DE5D3E"/>
    <w:rsid w:val="00DE6375"/>
    <w:rsid w:val="00DE71FB"/>
    <w:rsid w:val="00DE74CF"/>
    <w:rsid w:val="00DE7899"/>
    <w:rsid w:val="00DE79D3"/>
    <w:rsid w:val="00DF0B3A"/>
    <w:rsid w:val="00DF0EF8"/>
    <w:rsid w:val="00DF11BA"/>
    <w:rsid w:val="00DF1886"/>
    <w:rsid w:val="00DF1B33"/>
    <w:rsid w:val="00DF2155"/>
    <w:rsid w:val="00DF29D3"/>
    <w:rsid w:val="00DF34A7"/>
    <w:rsid w:val="00DF3624"/>
    <w:rsid w:val="00DF3626"/>
    <w:rsid w:val="00DF3BBD"/>
    <w:rsid w:val="00DF3E4F"/>
    <w:rsid w:val="00DF4655"/>
    <w:rsid w:val="00DF5518"/>
    <w:rsid w:val="00DF5792"/>
    <w:rsid w:val="00DF6A68"/>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3247"/>
    <w:rsid w:val="00E13482"/>
    <w:rsid w:val="00E1381A"/>
    <w:rsid w:val="00E13E62"/>
    <w:rsid w:val="00E146DA"/>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4A8"/>
    <w:rsid w:val="00E36410"/>
    <w:rsid w:val="00E368FA"/>
    <w:rsid w:val="00E36957"/>
    <w:rsid w:val="00E36D41"/>
    <w:rsid w:val="00E37508"/>
    <w:rsid w:val="00E378C3"/>
    <w:rsid w:val="00E379A6"/>
    <w:rsid w:val="00E403FD"/>
    <w:rsid w:val="00E40661"/>
    <w:rsid w:val="00E4199B"/>
    <w:rsid w:val="00E4283F"/>
    <w:rsid w:val="00E43B48"/>
    <w:rsid w:val="00E44927"/>
    <w:rsid w:val="00E44A46"/>
    <w:rsid w:val="00E461BB"/>
    <w:rsid w:val="00E4644A"/>
    <w:rsid w:val="00E47DDF"/>
    <w:rsid w:val="00E47FC2"/>
    <w:rsid w:val="00E50F3A"/>
    <w:rsid w:val="00E51494"/>
    <w:rsid w:val="00E51BB7"/>
    <w:rsid w:val="00E52145"/>
    <w:rsid w:val="00E52D78"/>
    <w:rsid w:val="00E53166"/>
    <w:rsid w:val="00E53834"/>
    <w:rsid w:val="00E53E29"/>
    <w:rsid w:val="00E53FAB"/>
    <w:rsid w:val="00E545CE"/>
    <w:rsid w:val="00E54620"/>
    <w:rsid w:val="00E54806"/>
    <w:rsid w:val="00E5540E"/>
    <w:rsid w:val="00E5550F"/>
    <w:rsid w:val="00E557B0"/>
    <w:rsid w:val="00E55C5D"/>
    <w:rsid w:val="00E565C0"/>
    <w:rsid w:val="00E56D17"/>
    <w:rsid w:val="00E5708D"/>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E63"/>
    <w:rsid w:val="00E72247"/>
    <w:rsid w:val="00E72A5D"/>
    <w:rsid w:val="00E72BD1"/>
    <w:rsid w:val="00E72BF9"/>
    <w:rsid w:val="00E734F6"/>
    <w:rsid w:val="00E737D8"/>
    <w:rsid w:val="00E73F3B"/>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57A"/>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63E"/>
    <w:rsid w:val="00EE5C57"/>
    <w:rsid w:val="00EE650A"/>
    <w:rsid w:val="00EE6A4D"/>
    <w:rsid w:val="00EE6F68"/>
    <w:rsid w:val="00EE7858"/>
    <w:rsid w:val="00EF060F"/>
    <w:rsid w:val="00EF0EE4"/>
    <w:rsid w:val="00EF1951"/>
    <w:rsid w:val="00EF1DBE"/>
    <w:rsid w:val="00EF1F06"/>
    <w:rsid w:val="00EF1FA8"/>
    <w:rsid w:val="00EF2079"/>
    <w:rsid w:val="00EF2526"/>
    <w:rsid w:val="00EF25C2"/>
    <w:rsid w:val="00EF2CA6"/>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0E0"/>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07DA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20604"/>
    <w:rsid w:val="00F20FE2"/>
    <w:rsid w:val="00F21444"/>
    <w:rsid w:val="00F2160B"/>
    <w:rsid w:val="00F21658"/>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A40"/>
    <w:rsid w:val="00F30B97"/>
    <w:rsid w:val="00F3164A"/>
    <w:rsid w:val="00F3212A"/>
    <w:rsid w:val="00F3217D"/>
    <w:rsid w:val="00F32E47"/>
    <w:rsid w:val="00F332CF"/>
    <w:rsid w:val="00F338AD"/>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E6"/>
    <w:rsid w:val="00F42D64"/>
    <w:rsid w:val="00F42E1F"/>
    <w:rsid w:val="00F43006"/>
    <w:rsid w:val="00F431F9"/>
    <w:rsid w:val="00F43798"/>
    <w:rsid w:val="00F4380B"/>
    <w:rsid w:val="00F4385A"/>
    <w:rsid w:val="00F439FF"/>
    <w:rsid w:val="00F43ABA"/>
    <w:rsid w:val="00F45AAC"/>
    <w:rsid w:val="00F45F68"/>
    <w:rsid w:val="00F46114"/>
    <w:rsid w:val="00F4714D"/>
    <w:rsid w:val="00F475E3"/>
    <w:rsid w:val="00F500AA"/>
    <w:rsid w:val="00F50A09"/>
    <w:rsid w:val="00F50EC2"/>
    <w:rsid w:val="00F50F45"/>
    <w:rsid w:val="00F51C52"/>
    <w:rsid w:val="00F522D9"/>
    <w:rsid w:val="00F5279C"/>
    <w:rsid w:val="00F529BC"/>
    <w:rsid w:val="00F52E73"/>
    <w:rsid w:val="00F530EB"/>
    <w:rsid w:val="00F537A0"/>
    <w:rsid w:val="00F53963"/>
    <w:rsid w:val="00F54A48"/>
    <w:rsid w:val="00F54D80"/>
    <w:rsid w:val="00F5523B"/>
    <w:rsid w:val="00F555DC"/>
    <w:rsid w:val="00F564CC"/>
    <w:rsid w:val="00F56BC2"/>
    <w:rsid w:val="00F5768E"/>
    <w:rsid w:val="00F57993"/>
    <w:rsid w:val="00F57D19"/>
    <w:rsid w:val="00F60D96"/>
    <w:rsid w:val="00F61C6C"/>
    <w:rsid w:val="00F6214E"/>
    <w:rsid w:val="00F629FE"/>
    <w:rsid w:val="00F62F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69B"/>
    <w:rsid w:val="00F77F66"/>
    <w:rsid w:val="00F807B8"/>
    <w:rsid w:val="00F80E08"/>
    <w:rsid w:val="00F81208"/>
    <w:rsid w:val="00F82453"/>
    <w:rsid w:val="00F825B7"/>
    <w:rsid w:val="00F829C3"/>
    <w:rsid w:val="00F82BB4"/>
    <w:rsid w:val="00F82DD6"/>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5287"/>
    <w:rsid w:val="00FB5D8A"/>
    <w:rsid w:val="00FB6770"/>
    <w:rsid w:val="00FB75D9"/>
    <w:rsid w:val="00FC0199"/>
    <w:rsid w:val="00FC04A8"/>
    <w:rsid w:val="00FC0542"/>
    <w:rsid w:val="00FC091D"/>
    <w:rsid w:val="00FC0AD7"/>
    <w:rsid w:val="00FC0F3F"/>
    <w:rsid w:val="00FC1FEF"/>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8C1"/>
    <w:rsid w:val="00FD2A62"/>
    <w:rsid w:val="00FD2BF2"/>
    <w:rsid w:val="00FD3225"/>
    <w:rsid w:val="00FD327F"/>
    <w:rsid w:val="00FD378C"/>
    <w:rsid w:val="00FD3AD6"/>
    <w:rsid w:val="00FD4C1E"/>
    <w:rsid w:val="00FD5AE2"/>
    <w:rsid w:val="00FD5CCF"/>
    <w:rsid w:val="00FD6532"/>
    <w:rsid w:val="00FD69A0"/>
    <w:rsid w:val="00FD6D54"/>
    <w:rsid w:val="00FD6EF3"/>
    <w:rsid w:val="00FD7AC4"/>
    <w:rsid w:val="00FE03BC"/>
    <w:rsid w:val="00FE18F2"/>
    <w:rsid w:val="00FE1914"/>
    <w:rsid w:val="00FE1EDE"/>
    <w:rsid w:val="00FE1FD3"/>
    <w:rsid w:val="00FE2474"/>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link w:val="ad"/>
    <w:uiPriority w:val="34"/>
    <w:rsid w:val="004545C8"/>
    <w:rPr>
      <w:rFonts w:ascii="바탕" w:hAnsi="바탕" w:cs="굴림"/>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BED1FE-9442-485A-827E-D333EEAE6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880</Words>
  <Characters>5019</Characters>
  <Application>Microsoft Office Word</Application>
  <DocSecurity>0</DocSecurity>
  <Lines>41</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5888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yunjung1</cp:lastModifiedBy>
  <cp:revision>7</cp:revision>
  <cp:lastPrinted>2016-05-13T07:55:00Z</cp:lastPrinted>
  <dcterms:created xsi:type="dcterms:W3CDTF">2017-05-05T06:45:00Z</dcterms:created>
  <dcterms:modified xsi:type="dcterms:W3CDTF">2017-05-05T06:52:00Z</dcterms:modified>
</cp:coreProperties>
</file>